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2FB1" w:rsidRPr="002462F6" w:rsidRDefault="002462F6" w:rsidP="00C64E8A">
      <w:pPr>
        <w:pStyle w:val="Encabezado"/>
        <w:rPr>
          <w:sz w:val="28"/>
          <w:szCs w:val="28"/>
        </w:rPr>
      </w:pPr>
      <w:r>
        <w:rPr>
          <w:noProof/>
          <w:lang w:val="es-DO" w:eastAsia="es-DO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-233045</wp:posOffset>
            </wp:positionV>
            <wp:extent cx="1971675" cy="847725"/>
            <wp:effectExtent l="0" t="0" r="9525" b="9525"/>
            <wp:wrapTight wrapText="bothSides">
              <wp:wrapPolygon edited="0">
                <wp:start x="0" y="0"/>
                <wp:lineTo x="0" y="21357"/>
                <wp:lineTo x="21496" y="21357"/>
                <wp:lineTo x="21496" y="0"/>
                <wp:lineTo x="0" y="0"/>
              </wp:wrapPolygon>
            </wp:wrapTight>
            <wp:docPr id="2" name="Picture 4" descr="cid:image004.jpg@01CB4FFC.F9C1ED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4.jpg@01CB4FFC.F9C1ED60"/>
                    <pic:cNvPicPr>
                      <a:picLocks noChangeAspect="1" noChangeArrowheads="1"/>
                    </pic:cNvPicPr>
                  </pic:nvPicPr>
                  <pic:blipFill>
                    <a:blip r:embed="rId8" r:link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2FB1">
        <w:rPr>
          <w:noProof/>
          <w:lang w:val="es-DO" w:eastAsia="es-DO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2468245</wp:posOffset>
            </wp:positionH>
            <wp:positionV relativeFrom="paragraph">
              <wp:posOffset>167005</wp:posOffset>
            </wp:positionV>
            <wp:extent cx="1476375" cy="5524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765" t="19081" r="34218" b="61609"/>
                    <a:stretch/>
                  </pic:blipFill>
                  <pic:spPr bwMode="auto">
                    <a:xfrm>
                      <a:off x="0" y="0"/>
                      <a:ext cx="1477010" cy="55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F2FB1" w:rsidRPr="002462F6">
        <w:rPr>
          <w:b/>
          <w:sz w:val="28"/>
          <w:szCs w:val="28"/>
        </w:rPr>
        <w:t>Viceministerio de  comercio Interno</w:t>
      </w:r>
    </w:p>
    <w:p w:rsidR="005F2FB1" w:rsidRDefault="005F2FB1" w:rsidP="008579E4">
      <w:pPr>
        <w:pStyle w:val="Encabezado"/>
        <w:ind w:left="-360"/>
      </w:pPr>
    </w:p>
    <w:p w:rsidR="008579E4" w:rsidRDefault="008579E4" w:rsidP="008579E4">
      <w:pPr>
        <w:pStyle w:val="Encabezado"/>
        <w:ind w:left="-360"/>
      </w:pPr>
    </w:p>
    <w:p w:rsidR="005F2FB1" w:rsidRDefault="005F2FB1" w:rsidP="008579E4">
      <w:pPr>
        <w:pStyle w:val="Encabezado"/>
        <w:ind w:left="-360"/>
      </w:pPr>
    </w:p>
    <w:p w:rsidR="0081270B" w:rsidRPr="00C64E8A" w:rsidRDefault="0081270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81270B" w:rsidRPr="00C64E8A" w:rsidRDefault="0081270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8579E4" w:rsidRPr="00C64E8A" w:rsidRDefault="008579E4" w:rsidP="000F2F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2"/>
          <w:szCs w:val="42"/>
          <w:lang w:val="es-DO"/>
        </w:rPr>
      </w:pPr>
    </w:p>
    <w:p w:rsidR="00BD4B08" w:rsidRPr="00C64E8A" w:rsidRDefault="00BD4B08" w:rsidP="000F2F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2"/>
          <w:szCs w:val="42"/>
          <w:lang w:val="es-DO"/>
        </w:rPr>
      </w:pPr>
    </w:p>
    <w:p w:rsidR="008579E4" w:rsidRPr="00C64E8A" w:rsidRDefault="008579E4" w:rsidP="000F2F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2"/>
          <w:szCs w:val="42"/>
          <w:lang w:val="es-DO"/>
        </w:rPr>
      </w:pPr>
    </w:p>
    <w:p w:rsidR="00D05C99" w:rsidRPr="00D05C99" w:rsidRDefault="00B7680A" w:rsidP="00B7680A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Tahoma"/>
          <w:b/>
          <w:sz w:val="24"/>
          <w:szCs w:val="24"/>
          <w:lang w:val="es-DO"/>
        </w:rPr>
      </w:pPr>
      <w:r w:rsidRPr="00D05C99">
        <w:rPr>
          <w:rFonts w:ascii="Verdana" w:hAnsi="Verdana" w:cs="Tahoma"/>
          <w:b/>
          <w:sz w:val="24"/>
          <w:szCs w:val="24"/>
          <w:lang w:val="es-DO"/>
        </w:rPr>
        <w:t>IMPORTACI</w:t>
      </w:r>
      <w:r w:rsidR="0004239A">
        <w:rPr>
          <w:rFonts w:ascii="Verdana" w:hAnsi="Verdana" w:cs="Tahoma"/>
          <w:b/>
          <w:sz w:val="24"/>
          <w:szCs w:val="24"/>
          <w:lang w:val="es-DO"/>
        </w:rPr>
        <w:t>Ó</w:t>
      </w:r>
      <w:r w:rsidRPr="00D05C99">
        <w:rPr>
          <w:rFonts w:ascii="Verdana" w:hAnsi="Verdana" w:cs="Tahoma"/>
          <w:b/>
          <w:sz w:val="24"/>
          <w:szCs w:val="24"/>
          <w:lang w:val="es-DO"/>
        </w:rPr>
        <w:t>N PRODUCTOSALIMENTICIOS</w:t>
      </w:r>
      <w:r w:rsidR="00AC4258" w:rsidRPr="00D05C99">
        <w:rPr>
          <w:rFonts w:ascii="Verdana" w:hAnsi="Verdana" w:cs="Tahoma"/>
          <w:b/>
          <w:sz w:val="24"/>
          <w:szCs w:val="24"/>
          <w:lang w:val="es-DO"/>
        </w:rPr>
        <w:t xml:space="preserve"> EN</w:t>
      </w:r>
    </w:p>
    <w:p w:rsidR="00AC4258" w:rsidRPr="00D05C99" w:rsidRDefault="00AC4258" w:rsidP="00B7680A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Tahoma"/>
          <w:b/>
          <w:sz w:val="24"/>
          <w:szCs w:val="24"/>
          <w:lang w:val="es-DO"/>
        </w:rPr>
      </w:pPr>
      <w:r w:rsidRPr="00D05C99">
        <w:rPr>
          <w:rFonts w:ascii="Verdana" w:hAnsi="Verdana" w:cs="Tahoma"/>
          <w:b/>
          <w:sz w:val="24"/>
          <w:szCs w:val="24"/>
          <w:lang w:val="es-DO"/>
        </w:rPr>
        <w:t>REP</w:t>
      </w:r>
      <w:r w:rsidR="0004239A">
        <w:rPr>
          <w:rFonts w:ascii="Verdana" w:hAnsi="Verdana" w:cs="Tahoma"/>
          <w:b/>
          <w:sz w:val="24"/>
          <w:szCs w:val="24"/>
          <w:lang w:val="es-DO"/>
        </w:rPr>
        <w:t>Ú</w:t>
      </w:r>
      <w:r w:rsidRPr="00D05C99">
        <w:rPr>
          <w:rFonts w:ascii="Verdana" w:hAnsi="Verdana" w:cs="Tahoma"/>
          <w:b/>
          <w:sz w:val="24"/>
          <w:szCs w:val="24"/>
          <w:lang w:val="es-DO"/>
        </w:rPr>
        <w:t>BLICA DOMINICANA</w:t>
      </w:r>
    </w:p>
    <w:p w:rsidR="00B7680A" w:rsidRPr="00D05C99" w:rsidRDefault="00193D1C" w:rsidP="00B7680A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Tahoma"/>
          <w:sz w:val="24"/>
          <w:szCs w:val="24"/>
          <w:lang w:val="es-DO"/>
        </w:rPr>
      </w:pPr>
      <w:r>
        <w:rPr>
          <w:rFonts w:ascii="Verdana" w:hAnsi="Verdana" w:cs="Tahoma"/>
          <w:b/>
          <w:sz w:val="24"/>
          <w:szCs w:val="24"/>
          <w:lang w:val="es-DO"/>
        </w:rPr>
        <w:t>Julio</w:t>
      </w:r>
      <w:r w:rsidR="00B7680A" w:rsidRPr="00D05C99">
        <w:rPr>
          <w:rFonts w:ascii="Verdana" w:hAnsi="Verdana" w:cs="Tahoma"/>
          <w:b/>
          <w:sz w:val="24"/>
          <w:szCs w:val="24"/>
          <w:lang w:val="es-DO"/>
        </w:rPr>
        <w:t>, 2015</w:t>
      </w:r>
    </w:p>
    <w:p w:rsidR="0081270B" w:rsidRPr="00D05C99" w:rsidRDefault="0081270B" w:rsidP="00E34A71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sz w:val="24"/>
          <w:szCs w:val="24"/>
          <w:lang w:val="es-DO"/>
        </w:rPr>
      </w:pPr>
    </w:p>
    <w:p w:rsidR="00D316B2" w:rsidRPr="00D05C99" w:rsidRDefault="00D316B2" w:rsidP="002462F6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Tahoma"/>
          <w:b/>
          <w:sz w:val="24"/>
          <w:szCs w:val="24"/>
          <w:lang w:val="es-DO"/>
        </w:rPr>
      </w:pPr>
    </w:p>
    <w:p w:rsidR="0081270B" w:rsidRPr="00D05C99" w:rsidRDefault="0053692E" w:rsidP="002462F6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Tahoma"/>
          <w:b/>
          <w:sz w:val="24"/>
          <w:szCs w:val="24"/>
          <w:lang w:val="es-DO"/>
        </w:rPr>
      </w:pPr>
      <w:r w:rsidRPr="00D05C99">
        <w:rPr>
          <w:rFonts w:ascii="Verdana" w:hAnsi="Verdana" w:cs="Tahoma"/>
          <w:b/>
          <w:sz w:val="24"/>
          <w:szCs w:val="24"/>
          <w:lang w:val="es-DO"/>
        </w:rPr>
        <w:t>RESUMEN EJECUTIVO</w:t>
      </w:r>
    </w:p>
    <w:p w:rsidR="0081270B" w:rsidRPr="00BD4B08" w:rsidRDefault="0081270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81270B" w:rsidRDefault="0081270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2877FB" w:rsidRDefault="002877F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2877FB" w:rsidRPr="00F72F37" w:rsidRDefault="002877FB" w:rsidP="00E34A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B23FE1" w:rsidRPr="00F72F37" w:rsidRDefault="002877FB" w:rsidP="00B23F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  <w:r w:rsidRPr="009F3A61">
        <w:rPr>
          <w:rFonts w:ascii="Calibri" w:eastAsia="Times New Roman" w:hAnsi="Calibri" w:cs="Times New Roman"/>
          <w:noProof/>
          <w:color w:val="666666"/>
          <w:sz w:val="21"/>
          <w:szCs w:val="21"/>
          <w:lang w:val="es-DO" w:eastAsia="es-DO"/>
        </w:rPr>
        <w:drawing>
          <wp:inline distT="0" distB="0" distL="0" distR="0">
            <wp:extent cx="1476375" cy="856704"/>
            <wp:effectExtent l="0" t="0" r="0" b="635"/>
            <wp:docPr id="12" name="Picture 12" descr="http://www.assal.gov.ar/verano/contenidos/2-fru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assal.gov.ar/verano/contenidos/2-fruta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216" cy="85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color w:val="666666"/>
          <w:sz w:val="21"/>
          <w:szCs w:val="21"/>
          <w:lang w:val="es-DO" w:eastAsia="es-DO"/>
        </w:rPr>
        <w:drawing>
          <wp:inline distT="0" distB="0" distL="0" distR="0">
            <wp:extent cx="1295400" cy="855456"/>
            <wp:effectExtent l="0" t="0" r="0" b="1905"/>
            <wp:docPr id="7" name="Picture 7" descr="http://www.assal.gov.ar/verano/contenidos/2-car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www.assal.gov.ar/verano/contenidos/2-carne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48" cy="8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9FB" w:rsidRPr="009F3A61">
        <w:rPr>
          <w:rFonts w:ascii="Calibri" w:eastAsia="Times New Roman" w:hAnsi="Calibri" w:cs="Times New Roman"/>
          <w:noProof/>
          <w:color w:val="666666"/>
          <w:sz w:val="21"/>
          <w:szCs w:val="21"/>
          <w:lang w:val="es-DO" w:eastAsia="es-DO"/>
        </w:rPr>
        <w:drawing>
          <wp:inline distT="0" distB="0" distL="0" distR="0">
            <wp:extent cx="1228357" cy="857250"/>
            <wp:effectExtent l="0" t="0" r="0" b="0"/>
            <wp:docPr id="11" name="Picture 11" descr="http://www.assal.gov.ar/verano/contenidos/2-le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assal.gov.ar/verano/contenidos/2-lech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16" cy="85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FE1" w:rsidRPr="00F72F37" w:rsidRDefault="00B23FE1" w:rsidP="00B23F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2"/>
          <w:szCs w:val="42"/>
          <w:lang w:val="es-DO"/>
        </w:rPr>
      </w:pPr>
    </w:p>
    <w:p w:rsidR="0081270B" w:rsidRPr="00B23FE1" w:rsidRDefault="0081270B" w:rsidP="00B23FE1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sz w:val="19"/>
          <w:szCs w:val="19"/>
          <w:lang w:val="es-DO"/>
        </w:rPr>
      </w:pPr>
    </w:p>
    <w:p w:rsidR="0081270B" w:rsidRPr="00F72F37" w:rsidRDefault="0081270B" w:rsidP="00E34A71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sz w:val="19"/>
          <w:szCs w:val="19"/>
          <w:lang w:val="es-DO"/>
        </w:rPr>
      </w:pPr>
    </w:p>
    <w:p w:rsidR="003A22A4" w:rsidRPr="00BD4B08" w:rsidRDefault="00193D1C" w:rsidP="00C739FB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"/>
          <w:b/>
          <w:sz w:val="19"/>
          <w:szCs w:val="19"/>
          <w:lang w:val="es-DO"/>
        </w:rPr>
      </w:pPr>
      <w:r>
        <w:rPr>
          <w:rFonts w:ascii="Verdana" w:hAnsi="Verdana" w:cs="Verdana"/>
          <w:b/>
          <w:sz w:val="19"/>
          <w:szCs w:val="19"/>
          <w:lang w:val="es-DO"/>
        </w:rPr>
        <w:t>12</w:t>
      </w:r>
      <w:r w:rsidR="003A22A4" w:rsidRPr="00BD4B08">
        <w:rPr>
          <w:rFonts w:ascii="Verdana" w:hAnsi="Verdana" w:cs="Verdana"/>
          <w:b/>
          <w:sz w:val="19"/>
          <w:szCs w:val="19"/>
          <w:lang w:val="es-DO"/>
        </w:rPr>
        <w:t xml:space="preserve"> de </w:t>
      </w:r>
      <w:r>
        <w:rPr>
          <w:rFonts w:ascii="Verdana" w:hAnsi="Verdana" w:cs="Verdana"/>
          <w:b/>
          <w:sz w:val="19"/>
          <w:szCs w:val="19"/>
          <w:lang w:val="es-DO"/>
        </w:rPr>
        <w:t>Agosto</w:t>
      </w:r>
      <w:r w:rsidR="00B23FE1">
        <w:rPr>
          <w:rFonts w:ascii="Verdana" w:hAnsi="Verdana" w:cs="Verdana"/>
          <w:b/>
          <w:sz w:val="19"/>
          <w:szCs w:val="19"/>
          <w:lang w:val="es-DO"/>
        </w:rPr>
        <w:t>,</w:t>
      </w:r>
      <w:r w:rsidR="00BD4B08">
        <w:rPr>
          <w:rFonts w:ascii="Verdana" w:hAnsi="Verdana" w:cs="Verdana"/>
          <w:b/>
          <w:sz w:val="19"/>
          <w:szCs w:val="19"/>
          <w:lang w:val="es-DO"/>
        </w:rPr>
        <w:t>2015</w:t>
      </w:r>
    </w:p>
    <w:p w:rsidR="003A22A4" w:rsidRPr="00BD4B08" w:rsidRDefault="003A22A4" w:rsidP="00E34A71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sz w:val="19"/>
          <w:szCs w:val="19"/>
          <w:lang w:val="es-DO"/>
        </w:rPr>
      </w:pPr>
    </w:p>
    <w:p w:rsidR="00BD4B08" w:rsidRDefault="00BD4B08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BD4B08" w:rsidRDefault="00BD4B08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B23FE1" w:rsidRDefault="00B23FE1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B23FE1" w:rsidRDefault="00B23FE1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880219" w:rsidRPr="00D05C99" w:rsidRDefault="00F72F37" w:rsidP="003A22A4">
      <w:pPr>
        <w:autoSpaceDE w:val="0"/>
        <w:autoSpaceDN w:val="0"/>
        <w:adjustRightInd w:val="0"/>
        <w:spacing w:after="0"/>
        <w:rPr>
          <w:rFonts w:ascii="Verdana" w:hAnsi="Verdana" w:cs="Tahoma"/>
          <w:b/>
          <w:sz w:val="24"/>
          <w:szCs w:val="24"/>
          <w:lang w:val="es-DO"/>
        </w:rPr>
      </w:pPr>
      <w:r w:rsidRPr="00D05C99">
        <w:rPr>
          <w:rFonts w:ascii="Verdana" w:hAnsi="Verdana" w:cs="Tahoma"/>
          <w:b/>
          <w:sz w:val="24"/>
          <w:szCs w:val="24"/>
          <w:lang w:val="es-DO"/>
        </w:rPr>
        <w:lastRenderedPageBreak/>
        <w:t>INTRODUCCI</w:t>
      </w:r>
      <w:r w:rsidR="007E1602">
        <w:rPr>
          <w:rFonts w:ascii="Verdana" w:hAnsi="Verdana" w:cs="Tahoma"/>
          <w:b/>
          <w:sz w:val="24"/>
          <w:szCs w:val="24"/>
          <w:lang w:val="es-DO"/>
        </w:rPr>
        <w:t>Ó</w:t>
      </w:r>
      <w:r w:rsidRPr="00D05C99">
        <w:rPr>
          <w:rFonts w:ascii="Verdana" w:hAnsi="Verdana" w:cs="Tahoma"/>
          <w:b/>
          <w:sz w:val="24"/>
          <w:szCs w:val="24"/>
          <w:lang w:val="es-DO"/>
        </w:rPr>
        <w:t>N</w:t>
      </w:r>
    </w:p>
    <w:p w:rsidR="002E1D58" w:rsidRDefault="002E1D58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F160CA" w:rsidRDefault="00F160CA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8F078D" w:rsidRDefault="008F078D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 w:rsidRPr="008F078D">
        <w:rPr>
          <w:rFonts w:ascii="Verdana" w:hAnsi="Verdana" w:cs="Arial"/>
          <w:sz w:val="20"/>
          <w:szCs w:val="20"/>
          <w:lang w:val="es-DO"/>
        </w:rPr>
        <w:t>Con la actividad económica cada vez más dinámica y globalizada, la acci</w:t>
      </w:r>
      <w:r w:rsidR="00E30F5F">
        <w:rPr>
          <w:rFonts w:ascii="Verdana" w:hAnsi="Verdana" w:cs="Arial"/>
          <w:sz w:val="20"/>
          <w:szCs w:val="20"/>
          <w:lang w:val="es-DO"/>
        </w:rPr>
        <w:t>ón del gobierno se vuelve funda</w:t>
      </w:r>
      <w:r w:rsidRPr="008F078D">
        <w:rPr>
          <w:rFonts w:ascii="Verdana" w:hAnsi="Verdana" w:cs="Arial"/>
          <w:sz w:val="20"/>
          <w:szCs w:val="20"/>
          <w:lang w:val="es-DO"/>
        </w:rPr>
        <w:t xml:space="preserve">mental en materia de protección y promoción de los objetivos sociales de importancia, particularmente en lo que se refiere </w:t>
      </w:r>
      <w:r w:rsidR="00E30F5F">
        <w:rPr>
          <w:rFonts w:ascii="Verdana" w:hAnsi="Verdana" w:cs="Arial"/>
          <w:sz w:val="20"/>
          <w:szCs w:val="20"/>
          <w:lang w:val="es-DO"/>
        </w:rPr>
        <w:t>a la salud,</w:t>
      </w:r>
      <w:r w:rsidR="00E30F5F" w:rsidRPr="008F078D">
        <w:rPr>
          <w:rFonts w:ascii="Verdana" w:hAnsi="Verdana" w:cs="Arial"/>
          <w:sz w:val="20"/>
          <w:szCs w:val="20"/>
          <w:lang w:val="es-DO"/>
        </w:rPr>
        <w:t xml:space="preserve"> medio</w:t>
      </w:r>
      <w:r w:rsidRPr="008F078D">
        <w:rPr>
          <w:rFonts w:ascii="Verdana" w:hAnsi="Verdana" w:cs="Arial"/>
          <w:sz w:val="20"/>
          <w:szCs w:val="20"/>
          <w:lang w:val="es-DO"/>
        </w:rPr>
        <w:t xml:space="preserve"> ambiente, y seguridad de las personas</w:t>
      </w:r>
      <w:r w:rsidR="00E30F5F">
        <w:rPr>
          <w:rFonts w:ascii="Verdana" w:hAnsi="Verdana" w:cs="Arial"/>
          <w:sz w:val="20"/>
          <w:szCs w:val="20"/>
          <w:lang w:val="es-DO"/>
        </w:rPr>
        <w:t>.</w:t>
      </w:r>
    </w:p>
    <w:p w:rsidR="008F078D" w:rsidRDefault="008F078D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Pr="0055510D" w:rsidRDefault="00E30F5F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 w:cs="Arial"/>
          <w:sz w:val="20"/>
          <w:szCs w:val="20"/>
          <w:lang w:val="es-DO"/>
        </w:rPr>
        <w:t xml:space="preserve">En tal sentido, </w:t>
      </w:r>
      <w:r w:rsidR="00844F77" w:rsidRPr="0055510D">
        <w:rPr>
          <w:rFonts w:ascii="Verdana" w:hAnsi="Verdana" w:cs="Arial"/>
          <w:sz w:val="20"/>
          <w:szCs w:val="20"/>
          <w:lang w:val="es-DO"/>
        </w:rPr>
        <w:t>el pasado mes de octubre 2014</w:t>
      </w:r>
      <w:r w:rsidR="00844F77">
        <w:rPr>
          <w:rFonts w:ascii="Verdana" w:hAnsi="Verdana" w:cs="Arial"/>
          <w:sz w:val="20"/>
          <w:szCs w:val="20"/>
          <w:lang w:val="es-DO"/>
        </w:rPr>
        <w:t xml:space="preserve"> el Gobierno de la República Dominicana anunció la puesta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 xml:space="preserve"> en marcha del Plan Nacional de Calid</w:t>
      </w:r>
      <w:r>
        <w:rPr>
          <w:rFonts w:ascii="Verdana" w:hAnsi="Verdana" w:cs="Arial"/>
          <w:sz w:val="20"/>
          <w:szCs w:val="20"/>
          <w:lang w:val="es-DO"/>
        </w:rPr>
        <w:t>ad e inocuidad de los Alimentos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 xml:space="preserve">, </w:t>
      </w:r>
      <w:r>
        <w:rPr>
          <w:rFonts w:ascii="Verdana" w:hAnsi="Verdana" w:cs="Arial"/>
          <w:sz w:val="20"/>
          <w:szCs w:val="20"/>
          <w:lang w:val="es-DO"/>
        </w:rPr>
        <w:t xml:space="preserve">con 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>el</w:t>
      </w:r>
      <w:r>
        <w:rPr>
          <w:rFonts w:ascii="Verdana" w:hAnsi="Verdana" w:cs="Arial"/>
          <w:sz w:val="20"/>
          <w:szCs w:val="20"/>
          <w:lang w:val="es-DO"/>
        </w:rPr>
        <w:t xml:space="preserve"> cual </w:t>
      </w:r>
      <w:r w:rsidR="00844F77">
        <w:rPr>
          <w:rFonts w:ascii="Verdana" w:hAnsi="Verdana" w:cs="Arial"/>
          <w:sz w:val="20"/>
          <w:szCs w:val="20"/>
          <w:lang w:val="es-DO"/>
        </w:rPr>
        <w:t xml:space="preserve">se </w:t>
      </w:r>
      <w:r w:rsidR="002877FB">
        <w:rPr>
          <w:rFonts w:ascii="Verdana" w:hAnsi="Verdana" w:cs="Arial"/>
          <w:sz w:val="20"/>
          <w:szCs w:val="20"/>
          <w:lang w:val="es-DO"/>
        </w:rPr>
        <w:t>prioriza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 xml:space="preserve"> la inocuidad de los alimentos, en su rol de proteger la salud y los derechos de los consumidores, y mantener un equilibrio justo en el comercio interno.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Como p</w:t>
      </w:r>
      <w:r w:rsidRPr="0055510D">
        <w:rPr>
          <w:rFonts w:ascii="Verdana" w:hAnsi="Verdana"/>
          <w:sz w:val="20"/>
          <w:szCs w:val="20"/>
          <w:lang w:val="es-DO"/>
        </w:rPr>
        <w:t xml:space="preserve">arte de los esfuerzos </w:t>
      </w:r>
      <w:r>
        <w:rPr>
          <w:rFonts w:ascii="Verdana" w:hAnsi="Verdana"/>
          <w:sz w:val="20"/>
          <w:szCs w:val="20"/>
          <w:lang w:val="es-DO"/>
        </w:rPr>
        <w:t>se realiza</w:t>
      </w:r>
      <w:r w:rsidRPr="0055510D">
        <w:rPr>
          <w:rFonts w:ascii="Verdana" w:hAnsi="Verdana"/>
          <w:sz w:val="20"/>
          <w:szCs w:val="20"/>
          <w:lang w:val="es-DO"/>
        </w:rPr>
        <w:t xml:space="preserve"> el monitoreo permanente de las importaciones de alimentos, para verificar que cumplen con las normativas técnicas vigentes </w:t>
      </w:r>
      <w:r>
        <w:rPr>
          <w:rFonts w:ascii="Verdana" w:hAnsi="Verdana"/>
          <w:sz w:val="20"/>
          <w:szCs w:val="20"/>
          <w:lang w:val="es-DO"/>
        </w:rPr>
        <w:t>para la comercialización en el mercado interno.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 w:rsidRPr="0055510D">
        <w:rPr>
          <w:rFonts w:ascii="Verdana" w:hAnsi="Verdana" w:cs="Arial"/>
          <w:sz w:val="20"/>
          <w:szCs w:val="20"/>
          <w:lang w:val="es-DO"/>
        </w:rPr>
        <w:t>El Viceministerio de Comercio Interno</w:t>
      </w:r>
      <w:r>
        <w:rPr>
          <w:rFonts w:ascii="Verdana" w:hAnsi="Verdana" w:cs="Arial"/>
          <w:sz w:val="20"/>
          <w:szCs w:val="20"/>
          <w:lang w:val="es-DO"/>
        </w:rPr>
        <w:t>,</w:t>
      </w:r>
      <w:r w:rsidRPr="0055510D">
        <w:rPr>
          <w:rFonts w:ascii="Verdana" w:hAnsi="Verdana" w:cs="Arial"/>
          <w:sz w:val="20"/>
          <w:szCs w:val="20"/>
          <w:lang w:val="es-DO"/>
        </w:rPr>
        <w:t xml:space="preserve"> del Ministerio de Industria y Comercio, </w:t>
      </w:r>
      <w:r>
        <w:rPr>
          <w:rFonts w:ascii="Verdana" w:hAnsi="Verdana" w:cs="Arial"/>
          <w:sz w:val="20"/>
          <w:szCs w:val="20"/>
          <w:lang w:val="es-DO"/>
        </w:rPr>
        <w:t>recopila y documenta</w:t>
      </w:r>
      <w:r w:rsidRPr="0055510D">
        <w:rPr>
          <w:rFonts w:ascii="Verdana" w:hAnsi="Verdana" w:cs="Arial"/>
          <w:sz w:val="20"/>
          <w:szCs w:val="20"/>
          <w:lang w:val="es-DO"/>
        </w:rPr>
        <w:t xml:space="preserve"> mensualmente </w:t>
      </w:r>
      <w:r>
        <w:rPr>
          <w:rFonts w:ascii="Verdana" w:hAnsi="Verdana" w:cs="Arial"/>
          <w:sz w:val="20"/>
          <w:szCs w:val="20"/>
          <w:lang w:val="es-DO"/>
        </w:rPr>
        <w:t xml:space="preserve">la </w:t>
      </w:r>
      <w:r w:rsidRPr="0055510D">
        <w:rPr>
          <w:rFonts w:ascii="Verdana" w:hAnsi="Verdana" w:cs="Arial"/>
          <w:sz w:val="20"/>
          <w:szCs w:val="20"/>
          <w:lang w:val="es-DO"/>
        </w:rPr>
        <w:t xml:space="preserve">información sobre </w:t>
      </w:r>
      <w:r>
        <w:rPr>
          <w:rFonts w:ascii="Verdana" w:hAnsi="Verdana" w:cs="Arial"/>
          <w:sz w:val="20"/>
          <w:szCs w:val="20"/>
          <w:lang w:val="es-DO"/>
        </w:rPr>
        <w:t>estas importaciones</w:t>
      </w:r>
      <w:r w:rsidRPr="0055510D">
        <w:rPr>
          <w:rFonts w:ascii="Verdana" w:hAnsi="Verdana" w:cs="Arial"/>
          <w:sz w:val="20"/>
          <w:szCs w:val="20"/>
          <w:lang w:val="es-DO"/>
        </w:rPr>
        <w:t xml:space="preserve">, considerando que </w:t>
      </w:r>
      <w:r>
        <w:rPr>
          <w:rFonts w:ascii="Verdana" w:hAnsi="Verdana" w:cs="Arial"/>
          <w:sz w:val="20"/>
          <w:szCs w:val="20"/>
          <w:lang w:val="es-DO"/>
        </w:rPr>
        <w:t xml:space="preserve">los datos </w:t>
      </w:r>
      <w:r w:rsidRPr="0055510D">
        <w:rPr>
          <w:rFonts w:ascii="Verdana" w:hAnsi="Verdana" w:cs="Arial"/>
          <w:sz w:val="20"/>
          <w:szCs w:val="20"/>
          <w:lang w:val="es-DO"/>
        </w:rPr>
        <w:t>son relevantes para la toma de decisiones y la definición de políticas de este sector, a la vez que nos permite capacidad de respuesta rápida en casos de alertas alimentarias,</w:t>
      </w:r>
      <w:r>
        <w:rPr>
          <w:rFonts w:ascii="Verdana" w:hAnsi="Verdana" w:cs="Arial"/>
          <w:sz w:val="20"/>
          <w:szCs w:val="20"/>
          <w:lang w:val="es-DO"/>
        </w:rPr>
        <w:t xml:space="preserve"> lo que representa una mejora significativa en el funcionamiento del mercado.</w:t>
      </w: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 w:cs="Arial"/>
          <w:sz w:val="20"/>
          <w:szCs w:val="20"/>
          <w:lang w:val="es-DO"/>
        </w:rPr>
        <w:t>De igual manera, se considera que los productores locales deben mantenerse al tanto de las tendencias de consumo interno, para poder ajustarse a los requerimientos.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Pr="00543BDB" w:rsidRDefault="006A1DE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 w:cs="Arial"/>
          <w:sz w:val="20"/>
          <w:szCs w:val="20"/>
          <w:lang w:val="es-DO"/>
        </w:rPr>
        <w:t xml:space="preserve">El presente informe pretende entregar más información y análisis sobre el comercio de alimentos en 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 xml:space="preserve">la República Dominicana durante el mes de </w:t>
      </w:r>
      <w:r w:rsidR="00193D1C">
        <w:rPr>
          <w:rFonts w:ascii="Verdana" w:hAnsi="Verdana" w:cs="Arial"/>
          <w:sz w:val="20"/>
          <w:szCs w:val="20"/>
          <w:lang w:val="es-DO"/>
        </w:rPr>
        <w:t>Jul</w:t>
      </w:r>
      <w:r w:rsidR="002877FB">
        <w:rPr>
          <w:rFonts w:ascii="Verdana" w:hAnsi="Verdana" w:cs="Arial"/>
          <w:sz w:val="20"/>
          <w:szCs w:val="20"/>
          <w:lang w:val="es-DO"/>
        </w:rPr>
        <w:t>i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>o</w:t>
      </w:r>
      <w:r w:rsidR="002877FB">
        <w:rPr>
          <w:rFonts w:ascii="Verdana" w:hAnsi="Verdana" w:cs="Arial"/>
          <w:sz w:val="20"/>
          <w:szCs w:val="20"/>
          <w:lang w:val="es-DO"/>
        </w:rPr>
        <w:t xml:space="preserve">, 2015, con datos específicos sobre los </w:t>
      </w:r>
      <w:r w:rsidR="002877FB" w:rsidRPr="0055510D">
        <w:rPr>
          <w:rFonts w:ascii="Verdana" w:hAnsi="Verdana" w:cs="Arial"/>
          <w:sz w:val="20"/>
          <w:szCs w:val="20"/>
          <w:lang w:val="es-DO"/>
        </w:rPr>
        <w:t xml:space="preserve"> productos lácteos.</w:t>
      </w:r>
      <w:r w:rsidR="002877FB">
        <w:rPr>
          <w:rFonts w:ascii="Verdana" w:hAnsi="Verdana" w:cs="Arial"/>
          <w:sz w:val="20"/>
          <w:szCs w:val="20"/>
          <w:lang w:val="es-DO"/>
        </w:rPr>
        <w:t xml:space="preserve">Se trata de un </w:t>
      </w:r>
      <w:r w:rsidR="002877FB" w:rsidRPr="0055510D">
        <w:rPr>
          <w:rFonts w:ascii="Verdana" w:hAnsi="Verdana"/>
          <w:sz w:val="20"/>
          <w:szCs w:val="20"/>
          <w:lang w:val="es-DO"/>
        </w:rPr>
        <w:t xml:space="preserve">documento informativo breve, que no pretende describir exhaustivamente todos los puntos relacionados con el tema. 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55510D">
        <w:rPr>
          <w:rFonts w:ascii="Verdana" w:hAnsi="Verdana"/>
          <w:sz w:val="20"/>
          <w:szCs w:val="20"/>
          <w:lang w:val="es-DO"/>
        </w:rPr>
        <w:t>Agradecemos enviarnos retroalimentación en los aspectos que consideren pertinente.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F64722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sz w:val="20"/>
          <w:szCs w:val="20"/>
          <w:lang w:val="es-DO"/>
        </w:rPr>
      </w:pPr>
      <w:r w:rsidRPr="007E1602">
        <w:rPr>
          <w:rFonts w:ascii="Verdana" w:hAnsi="Verdana"/>
          <w:b/>
          <w:sz w:val="20"/>
          <w:szCs w:val="20"/>
          <w:lang w:val="es-DO"/>
        </w:rPr>
        <w:t>Dra. Anina M. Del Castillo</w:t>
      </w:r>
    </w:p>
    <w:p w:rsidR="002877FB" w:rsidRPr="00F64722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sz w:val="20"/>
          <w:szCs w:val="20"/>
          <w:lang w:val="es-DO"/>
        </w:rPr>
      </w:pPr>
      <w:r w:rsidRPr="0055510D">
        <w:rPr>
          <w:rFonts w:ascii="Verdana" w:hAnsi="Verdana"/>
          <w:sz w:val="20"/>
          <w:szCs w:val="20"/>
          <w:lang w:val="es-DO"/>
        </w:rPr>
        <w:t>Viceministro de Comercio Interno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55510D">
        <w:rPr>
          <w:rFonts w:ascii="Verdana" w:hAnsi="Verdana"/>
          <w:sz w:val="20"/>
          <w:szCs w:val="20"/>
          <w:lang w:val="es-DO"/>
        </w:rPr>
        <w:t>Ministerio de Industria y Comercio</w:t>
      </w: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D05C99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lang w:val="es-DO"/>
        </w:rPr>
      </w:pPr>
    </w:p>
    <w:p w:rsidR="00EF792D" w:rsidRDefault="00EF792D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lang w:val="es-DO"/>
        </w:rPr>
      </w:pPr>
      <w:r w:rsidRPr="00D05C99">
        <w:rPr>
          <w:rFonts w:ascii="Verdana" w:hAnsi="Verdana"/>
          <w:b/>
          <w:lang w:val="es-DO"/>
        </w:rPr>
        <w:lastRenderedPageBreak/>
        <w:t>RESUMEN EJECUTIVO</w:t>
      </w: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b/>
          <w:lang w:val="es-DO"/>
        </w:rPr>
      </w:pPr>
    </w:p>
    <w:p w:rsidR="00D7040F" w:rsidRDefault="00D7040F" w:rsidP="003A22A4">
      <w:pPr>
        <w:autoSpaceDE w:val="0"/>
        <w:autoSpaceDN w:val="0"/>
        <w:adjustRightInd w:val="0"/>
        <w:spacing w:after="0"/>
        <w:rPr>
          <w:rFonts w:ascii="Arial" w:hAnsi="Arial" w:cs="Arial"/>
          <w:b/>
          <w:lang w:val="es-DO"/>
        </w:rPr>
      </w:pPr>
    </w:p>
    <w:p w:rsidR="00D047EC" w:rsidRDefault="00D047EC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En el mes de julio,2015 las importaciones de alimentos realizadas en l</w:t>
      </w:r>
      <w:r w:rsidR="002877FB">
        <w:rPr>
          <w:rFonts w:ascii="Verdana" w:hAnsi="Verdana"/>
          <w:sz w:val="20"/>
          <w:szCs w:val="20"/>
          <w:lang w:val="es-DO"/>
        </w:rPr>
        <w:t xml:space="preserve">a República Dominicana </w:t>
      </w:r>
      <w:r>
        <w:rPr>
          <w:rFonts w:ascii="Verdana" w:hAnsi="Verdana"/>
          <w:sz w:val="20"/>
          <w:szCs w:val="20"/>
          <w:lang w:val="es-DO"/>
        </w:rPr>
        <w:t>totalizaron ciento noventa y cinco millones cuatrocientos setenta y nueve mil setecientos treinta y seis con veintitrés</w:t>
      </w:r>
      <w:r w:rsidR="00893E25">
        <w:rPr>
          <w:rFonts w:ascii="Verdana" w:hAnsi="Verdana"/>
          <w:sz w:val="20"/>
          <w:szCs w:val="20"/>
          <w:lang w:val="es-DO"/>
        </w:rPr>
        <w:t>dolares</w:t>
      </w:r>
      <w:r>
        <w:rPr>
          <w:rFonts w:ascii="Verdana" w:hAnsi="Verdana"/>
          <w:sz w:val="20"/>
          <w:szCs w:val="20"/>
          <w:lang w:val="es-DO"/>
        </w:rPr>
        <w:t xml:space="preserve"> (US$195,479,736.23)</w:t>
      </w:r>
      <w:r w:rsidR="002B6268">
        <w:rPr>
          <w:rFonts w:ascii="Verdana" w:hAnsi="Verdana"/>
          <w:sz w:val="20"/>
          <w:szCs w:val="20"/>
          <w:lang w:val="es-DO"/>
        </w:rPr>
        <w:t>, lo cual representa un ligero crecimiento respecto al pasado mes de junio de un 5.23%.</w:t>
      </w:r>
    </w:p>
    <w:p w:rsidR="00732A28" w:rsidRDefault="00732A28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732A28" w:rsidRPr="005A1C08" w:rsidRDefault="00732A28" w:rsidP="00732A28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5A1C08">
        <w:rPr>
          <w:rFonts w:ascii="Verdana" w:hAnsi="Verdana"/>
          <w:sz w:val="20"/>
          <w:szCs w:val="20"/>
          <w:lang w:val="es-DO"/>
        </w:rPr>
        <w:t xml:space="preserve">Setenta países suplieron durante este periodo algún tipo de alimento a la República Dominicana, concentrándose el comercio en 2 regiones del mundo: América y la Unión Europea, destacándose la participación de </w:t>
      </w:r>
      <w:r w:rsidR="00FF3977">
        <w:rPr>
          <w:rFonts w:ascii="Verdana" w:hAnsi="Verdana"/>
          <w:sz w:val="20"/>
          <w:szCs w:val="20"/>
          <w:lang w:val="es-DO"/>
        </w:rPr>
        <w:t>los Estados Unidos, Argentina, Brasil, Honduras entre otros.</w:t>
      </w:r>
    </w:p>
    <w:p w:rsidR="00732A28" w:rsidRDefault="00732A28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B6268" w:rsidRDefault="002B6268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 xml:space="preserve">La marcada presencia de productos básicos e intermedios caracteriza las importaciones de este </w:t>
      </w:r>
      <w:r w:rsidR="00732A28">
        <w:rPr>
          <w:rFonts w:ascii="Verdana" w:hAnsi="Verdana"/>
          <w:sz w:val="20"/>
          <w:szCs w:val="20"/>
          <w:lang w:val="es-DO"/>
        </w:rPr>
        <w:t>renglón en el periodo indicado, las cuales si bien se presentan muy diversificadas, reportan mayores porcentajes en productos como: cereales, grasas, az</w:t>
      </w:r>
      <w:r w:rsidR="00513C30" w:rsidRPr="005A1C08">
        <w:rPr>
          <w:rFonts w:ascii="Verdana" w:hAnsi="Verdana"/>
          <w:sz w:val="20"/>
          <w:szCs w:val="20"/>
          <w:lang w:val="es-DO"/>
        </w:rPr>
        <w:t>ú</w:t>
      </w:r>
      <w:r w:rsidR="00732A28">
        <w:rPr>
          <w:rFonts w:ascii="Verdana" w:hAnsi="Verdana"/>
          <w:sz w:val="20"/>
          <w:szCs w:val="20"/>
          <w:lang w:val="es-DO"/>
        </w:rPr>
        <w:t>cares y productos de confitería así como preparaciones a base de cereales.</w:t>
      </w:r>
    </w:p>
    <w:p w:rsidR="002B6268" w:rsidRDefault="002B6268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4F0164" w:rsidRDefault="00513C30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Estados Unidos</w:t>
      </w:r>
      <w:r w:rsidR="002877FB" w:rsidRPr="00FF3977">
        <w:rPr>
          <w:rFonts w:ascii="Verdana" w:hAnsi="Verdana"/>
          <w:sz w:val="20"/>
          <w:szCs w:val="20"/>
          <w:lang w:val="es-DO"/>
        </w:rPr>
        <w:t xml:space="preserve"> incluyendo Puert</w:t>
      </w:r>
      <w:r w:rsidR="00FF3977">
        <w:rPr>
          <w:rFonts w:ascii="Verdana" w:hAnsi="Verdana"/>
          <w:sz w:val="20"/>
          <w:szCs w:val="20"/>
          <w:lang w:val="es-DO"/>
        </w:rPr>
        <w:t xml:space="preserve">o Rico, </w:t>
      </w:r>
      <w:r w:rsidR="004F0164">
        <w:rPr>
          <w:rFonts w:ascii="Verdana" w:hAnsi="Verdana"/>
          <w:sz w:val="20"/>
          <w:szCs w:val="20"/>
          <w:lang w:val="es-DO"/>
        </w:rPr>
        <w:t xml:space="preserve">es el principal proveedor de alimentos  con un </w:t>
      </w:r>
    </w:p>
    <w:p w:rsidR="002877FB" w:rsidRPr="003B78F9" w:rsidRDefault="003B78F9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44.35</w:t>
      </w:r>
      <w:r w:rsidR="004F0164">
        <w:rPr>
          <w:rFonts w:ascii="Verdana" w:hAnsi="Verdana"/>
          <w:sz w:val="20"/>
          <w:szCs w:val="20"/>
          <w:lang w:val="es-DO"/>
        </w:rPr>
        <w:t xml:space="preserve"> % de las importaciones del sector</w:t>
      </w:r>
      <w:r>
        <w:rPr>
          <w:rFonts w:ascii="Verdana" w:hAnsi="Verdana"/>
          <w:sz w:val="20"/>
          <w:szCs w:val="20"/>
          <w:lang w:val="es-DO"/>
        </w:rPr>
        <w:t xml:space="preserve">, con un valor FOB de ochenta y seis millones seiscientos noventa y </w:t>
      </w:r>
      <w:r w:rsidR="00893E25">
        <w:rPr>
          <w:rFonts w:ascii="Verdana" w:hAnsi="Verdana"/>
          <w:sz w:val="20"/>
          <w:szCs w:val="20"/>
          <w:lang w:val="es-DO"/>
        </w:rPr>
        <w:t xml:space="preserve">cinco mil cien con setenta y un </w:t>
      </w:r>
      <w:r w:rsidR="00EF792D">
        <w:rPr>
          <w:rFonts w:ascii="Verdana" w:hAnsi="Verdana"/>
          <w:sz w:val="20"/>
          <w:szCs w:val="20"/>
          <w:lang w:val="es-DO"/>
        </w:rPr>
        <w:t>dólares</w:t>
      </w:r>
      <w:r>
        <w:rPr>
          <w:rFonts w:ascii="Verdana" w:hAnsi="Verdana"/>
          <w:sz w:val="20"/>
          <w:szCs w:val="20"/>
          <w:lang w:val="es-DO"/>
        </w:rPr>
        <w:t xml:space="preserve"> (US$86, 695,100.71). Maíz, harina de soja, trigo, leche, carne y grasas </w:t>
      </w:r>
      <w:r w:rsidR="002877FB" w:rsidRPr="003B78F9">
        <w:rPr>
          <w:rFonts w:ascii="Verdana" w:hAnsi="Verdana"/>
          <w:sz w:val="20"/>
          <w:szCs w:val="20"/>
          <w:lang w:val="es-DO"/>
        </w:rPr>
        <w:t xml:space="preserve">son los productos con mayor valor importado. </w:t>
      </w:r>
    </w:p>
    <w:p w:rsidR="002877FB" w:rsidRPr="002B6268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color w:val="FF0000"/>
          <w:sz w:val="20"/>
          <w:szCs w:val="20"/>
          <w:lang w:val="es-DO"/>
        </w:rPr>
      </w:pPr>
    </w:p>
    <w:p w:rsidR="00513C30" w:rsidRDefault="00D96188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D96188">
        <w:rPr>
          <w:rFonts w:ascii="Verdana" w:hAnsi="Verdana"/>
          <w:sz w:val="20"/>
          <w:szCs w:val="20"/>
          <w:lang w:val="es-DO"/>
        </w:rPr>
        <w:t xml:space="preserve">El segundo mercado </w:t>
      </w:r>
      <w:r w:rsidR="002877FB" w:rsidRPr="00D96188">
        <w:rPr>
          <w:rFonts w:ascii="Verdana" w:hAnsi="Verdana"/>
          <w:sz w:val="20"/>
          <w:szCs w:val="20"/>
          <w:lang w:val="es-DO"/>
        </w:rPr>
        <w:t xml:space="preserve"> en importancia</w:t>
      </w:r>
      <w:r w:rsidRPr="00D96188">
        <w:rPr>
          <w:rFonts w:ascii="Verdana" w:hAnsi="Verdana"/>
          <w:sz w:val="20"/>
          <w:szCs w:val="20"/>
          <w:lang w:val="es-DO"/>
        </w:rPr>
        <w:t xml:space="preserve"> es</w:t>
      </w:r>
      <w:r w:rsidR="00731FDE">
        <w:rPr>
          <w:rFonts w:ascii="Verdana" w:hAnsi="Verdana"/>
          <w:sz w:val="20"/>
          <w:szCs w:val="20"/>
          <w:lang w:val="es-DO"/>
        </w:rPr>
        <w:t>Brasil</w:t>
      </w:r>
      <w:r w:rsidR="002877FB" w:rsidRPr="00D96188">
        <w:rPr>
          <w:rFonts w:ascii="Verdana" w:hAnsi="Verdana"/>
          <w:sz w:val="20"/>
          <w:szCs w:val="20"/>
          <w:lang w:val="es-DO"/>
        </w:rPr>
        <w:t xml:space="preserve">, con importaciones por valor de </w:t>
      </w:r>
      <w:r w:rsidR="00731FDE">
        <w:rPr>
          <w:rFonts w:ascii="Verdana" w:hAnsi="Verdana"/>
          <w:sz w:val="20"/>
          <w:szCs w:val="20"/>
          <w:lang w:val="es-DO"/>
        </w:rPr>
        <w:t>US$</w:t>
      </w:r>
      <w:r w:rsidRPr="00D96188">
        <w:rPr>
          <w:rFonts w:ascii="Verdana" w:hAnsi="Verdana"/>
          <w:sz w:val="20"/>
          <w:szCs w:val="20"/>
          <w:lang w:val="es-DO"/>
        </w:rPr>
        <w:t>7.2</w:t>
      </w:r>
      <w:r w:rsidR="00731FDE">
        <w:rPr>
          <w:rFonts w:ascii="Verdana" w:hAnsi="Verdana"/>
          <w:sz w:val="20"/>
          <w:szCs w:val="20"/>
          <w:lang w:val="es-DO"/>
        </w:rPr>
        <w:t>0</w:t>
      </w:r>
      <w:r w:rsidR="002877FB" w:rsidRPr="00D96188">
        <w:rPr>
          <w:rFonts w:ascii="Verdana" w:hAnsi="Verdana"/>
          <w:sz w:val="20"/>
          <w:szCs w:val="20"/>
          <w:lang w:val="es-DO"/>
        </w:rPr>
        <w:t xml:space="preserve"> millones de dólares, representando el </w:t>
      </w:r>
      <w:r w:rsidRPr="00D96188">
        <w:rPr>
          <w:rFonts w:ascii="Verdana" w:hAnsi="Verdana"/>
          <w:sz w:val="20"/>
          <w:szCs w:val="20"/>
          <w:lang w:val="es-DO"/>
        </w:rPr>
        <w:t>3.70</w:t>
      </w:r>
      <w:r w:rsidR="002877FB" w:rsidRPr="00D96188">
        <w:rPr>
          <w:rFonts w:ascii="Verdana" w:hAnsi="Verdana"/>
          <w:sz w:val="20"/>
          <w:szCs w:val="20"/>
          <w:lang w:val="es-DO"/>
        </w:rPr>
        <w:t xml:space="preserve">% del total en productos como: </w:t>
      </w:r>
      <w:r w:rsidR="00731FDE">
        <w:rPr>
          <w:rFonts w:ascii="Verdana" w:hAnsi="Verdana"/>
          <w:sz w:val="20"/>
          <w:szCs w:val="20"/>
          <w:lang w:val="es-DO"/>
        </w:rPr>
        <w:t>Azúcar crema, maíz, concentrado de jugo, chocolates, cereales.</w:t>
      </w:r>
    </w:p>
    <w:p w:rsidR="00731FDE" w:rsidRDefault="00731FDE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731FDE" w:rsidRDefault="00731FDE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 xml:space="preserve">El tercer lugar lo ocupó Honduras </w:t>
      </w:r>
      <w:r w:rsidR="00C841DC">
        <w:rPr>
          <w:rFonts w:ascii="Verdana" w:hAnsi="Verdana"/>
          <w:sz w:val="20"/>
          <w:szCs w:val="20"/>
          <w:lang w:val="es-DO"/>
        </w:rPr>
        <w:t xml:space="preserve"> representando el 5.47% del total importado, con</w:t>
      </w:r>
      <w:r>
        <w:rPr>
          <w:rFonts w:ascii="Verdana" w:hAnsi="Verdana"/>
          <w:sz w:val="20"/>
          <w:szCs w:val="20"/>
          <w:lang w:val="es-DO"/>
        </w:rPr>
        <w:t xml:space="preserve"> US$11.22 millones de dólares en valor FOB, de aceite crudo de palma,</w:t>
      </w:r>
      <w:r w:rsidR="00844F77">
        <w:rPr>
          <w:rFonts w:ascii="Verdana" w:hAnsi="Verdana"/>
          <w:sz w:val="20"/>
          <w:szCs w:val="20"/>
          <w:lang w:val="es-DO"/>
        </w:rPr>
        <w:t xml:space="preserve"> café verde, mantequilla, sopas y artículos de</w:t>
      </w:r>
      <w:r>
        <w:rPr>
          <w:rFonts w:ascii="Verdana" w:hAnsi="Verdana"/>
          <w:sz w:val="20"/>
          <w:szCs w:val="20"/>
          <w:lang w:val="es-DO"/>
        </w:rPr>
        <w:t xml:space="preserve"> confitería</w:t>
      </w:r>
      <w:r w:rsidR="00844F77">
        <w:rPr>
          <w:rFonts w:ascii="Verdana" w:hAnsi="Verdana"/>
          <w:sz w:val="20"/>
          <w:szCs w:val="20"/>
          <w:lang w:val="es-DO"/>
        </w:rPr>
        <w:t>.  México, en el cuarto lugar</w:t>
      </w:r>
      <w:r w:rsidR="00C841DC">
        <w:rPr>
          <w:rFonts w:ascii="Verdana" w:hAnsi="Verdana"/>
          <w:sz w:val="20"/>
          <w:szCs w:val="20"/>
          <w:lang w:val="es-DO"/>
        </w:rPr>
        <w:t xml:space="preserve"> con el 4.14%</w:t>
      </w:r>
      <w:r w:rsidR="00844F77">
        <w:rPr>
          <w:rFonts w:ascii="Verdana" w:hAnsi="Verdana"/>
          <w:sz w:val="20"/>
          <w:szCs w:val="20"/>
          <w:lang w:val="es-DO"/>
        </w:rPr>
        <w:t xml:space="preserve"> nos abasteció de preparaciones para la alimentación infantil, cereales</w:t>
      </w:r>
      <w:r w:rsidR="00B619BA">
        <w:rPr>
          <w:rFonts w:ascii="Verdana" w:hAnsi="Verdana"/>
          <w:sz w:val="20"/>
          <w:szCs w:val="20"/>
          <w:lang w:val="es-DO"/>
        </w:rPr>
        <w:t xml:space="preserve"> inflados (</w:t>
      </w:r>
      <w:r w:rsidR="00844F77">
        <w:rPr>
          <w:rFonts w:ascii="Verdana" w:hAnsi="Verdana"/>
          <w:sz w:val="20"/>
          <w:szCs w:val="20"/>
          <w:lang w:val="es-DO"/>
        </w:rPr>
        <w:t>cornflakes)</w:t>
      </w:r>
      <w:r w:rsidR="00B619BA">
        <w:rPr>
          <w:rFonts w:ascii="Verdana" w:hAnsi="Verdana"/>
          <w:sz w:val="20"/>
          <w:szCs w:val="20"/>
          <w:lang w:val="es-DO"/>
        </w:rPr>
        <w:t>, preparaciones alimenticias (concentrados de proteínas), galletas y artículos de confitería entre otros; por valor FOB de US$8.09 millones de dólares.</w:t>
      </w:r>
    </w:p>
    <w:p w:rsidR="00B619BA" w:rsidRDefault="00B619BA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B619BA" w:rsidRDefault="00B619BA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De Argentina importamos US$7.20 millones de dólares en productos como: almidón de maíz, vinos, cereales inflados (cornflak</w:t>
      </w:r>
      <w:r w:rsidR="00C841DC">
        <w:rPr>
          <w:rFonts w:ascii="Verdana" w:hAnsi="Verdana"/>
          <w:sz w:val="20"/>
          <w:szCs w:val="20"/>
          <w:lang w:val="es-DO"/>
        </w:rPr>
        <w:t>es), té, y jugos principalmente, representando el 3.68% del total importado.</w:t>
      </w:r>
    </w:p>
    <w:p w:rsidR="00B619BA" w:rsidRDefault="00B619BA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B619BA" w:rsidRDefault="00B619BA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 xml:space="preserve">El sexto lugar fué ocupado por España quien nos suplió de </w:t>
      </w:r>
      <w:r w:rsidR="00BB7F63">
        <w:rPr>
          <w:rFonts w:ascii="Verdana" w:hAnsi="Verdana"/>
          <w:sz w:val="20"/>
          <w:szCs w:val="20"/>
          <w:lang w:val="es-DO"/>
        </w:rPr>
        <w:t>huevo líquido, atún, salsas, vinos, quesos, aceite de oliva, aceitunas, entre otros, por valor FOB</w:t>
      </w:r>
      <w:r w:rsidR="00C841DC">
        <w:rPr>
          <w:rFonts w:ascii="Verdana" w:hAnsi="Verdana"/>
          <w:sz w:val="20"/>
          <w:szCs w:val="20"/>
          <w:lang w:val="es-DO"/>
        </w:rPr>
        <w:t xml:space="preserve"> de US$5.55 millones de dólares, representando el 2.84% de las importaciones del sector.</w:t>
      </w:r>
    </w:p>
    <w:p w:rsidR="00BB7F63" w:rsidRDefault="00BB7F63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EF792D" w:rsidRDefault="00BB7F63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Costa Rica nos vendió US$5.47 millones de dólares</w:t>
      </w:r>
      <w:r w:rsidR="00C841DC">
        <w:rPr>
          <w:rFonts w:ascii="Verdana" w:hAnsi="Verdana"/>
          <w:sz w:val="20"/>
          <w:szCs w:val="20"/>
          <w:lang w:val="es-DO"/>
        </w:rPr>
        <w:t xml:space="preserve">, </w:t>
      </w:r>
      <w:r>
        <w:rPr>
          <w:rFonts w:ascii="Verdana" w:hAnsi="Verdana"/>
          <w:sz w:val="20"/>
          <w:szCs w:val="20"/>
          <w:lang w:val="es-DO"/>
        </w:rPr>
        <w:t xml:space="preserve">en </w:t>
      </w:r>
      <w:r w:rsidR="000B1C3D">
        <w:rPr>
          <w:rFonts w:ascii="Verdana" w:hAnsi="Verdana"/>
          <w:sz w:val="20"/>
          <w:szCs w:val="20"/>
          <w:lang w:val="es-DO"/>
        </w:rPr>
        <w:t xml:space="preserve">preparaciones homogeneizadas (compotas), leche líquida, galletas, pastas alimenticias, gelatinas, concentrado de coca </w:t>
      </w:r>
    </w:p>
    <w:p w:rsidR="00EF792D" w:rsidRDefault="00EF792D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BB7F63" w:rsidRDefault="000B1C3D" w:rsidP="00B619BA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cola,</w:t>
      </w:r>
      <w:r w:rsidR="00C841DC">
        <w:rPr>
          <w:rFonts w:ascii="Verdana" w:hAnsi="Verdana"/>
          <w:sz w:val="20"/>
          <w:szCs w:val="20"/>
          <w:lang w:val="es-DO"/>
        </w:rPr>
        <w:t xml:space="preserve"> bebida en polvo, entre otros, para un 2.80% del total importado. </w:t>
      </w:r>
      <w:r>
        <w:rPr>
          <w:rFonts w:ascii="Verdana" w:hAnsi="Verdana"/>
          <w:sz w:val="20"/>
          <w:szCs w:val="20"/>
          <w:lang w:val="es-DO"/>
        </w:rPr>
        <w:t xml:space="preserve">Guatemala, ocupando el octavo lugar nos suplió de </w:t>
      </w:r>
      <w:r w:rsidR="00C841DC">
        <w:rPr>
          <w:rFonts w:ascii="Verdana" w:hAnsi="Verdana"/>
          <w:sz w:val="20"/>
          <w:szCs w:val="20"/>
          <w:lang w:val="es-DO"/>
        </w:rPr>
        <w:t>h</w:t>
      </w:r>
      <w:r>
        <w:rPr>
          <w:rFonts w:ascii="Verdana" w:hAnsi="Verdana"/>
          <w:sz w:val="20"/>
          <w:szCs w:val="20"/>
          <w:lang w:val="es-DO"/>
        </w:rPr>
        <w:t>elados, cereales inflados (cornflakes), artículos de confitería, galletas por valor</w:t>
      </w:r>
      <w:r w:rsidR="00C841DC">
        <w:rPr>
          <w:rFonts w:ascii="Verdana" w:hAnsi="Verdana"/>
          <w:sz w:val="20"/>
          <w:szCs w:val="20"/>
          <w:lang w:val="es-DO"/>
        </w:rPr>
        <w:t xml:space="preserve"> de US$4.90 millones de dólares, para un 2.51%.</w:t>
      </w:r>
    </w:p>
    <w:p w:rsidR="00844F77" w:rsidRDefault="00844F77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C94FBB" w:rsidRDefault="00C94FB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Desde Noruega importamos US$3.11 millones de dólares de bacalao y filete de salmón, finalmente de Colombia, ocupando el décimo lugar importamos aceite de palma en crudo, flores frescas, artículos de confitería por valor de US$2.6 millones de dólares.</w:t>
      </w:r>
    </w:p>
    <w:p w:rsidR="002877FB" w:rsidRPr="00D86BF0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color w:val="FF0000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4F2DBF">
        <w:rPr>
          <w:rFonts w:ascii="Verdana" w:hAnsi="Verdana"/>
          <w:sz w:val="20"/>
          <w:szCs w:val="20"/>
          <w:lang w:val="es-DO"/>
        </w:rPr>
        <w:t xml:space="preserve">Otros suplidores importantes fueron: </w:t>
      </w:r>
      <w:r w:rsidR="00C841DC">
        <w:rPr>
          <w:rFonts w:ascii="Verdana" w:hAnsi="Verdana"/>
          <w:sz w:val="20"/>
          <w:szCs w:val="20"/>
          <w:lang w:val="es-DO"/>
        </w:rPr>
        <w:t xml:space="preserve">China, Canadá, El Salvador, Chile </w:t>
      </w:r>
      <w:r w:rsidRPr="004F2DBF">
        <w:rPr>
          <w:rFonts w:ascii="Verdana" w:hAnsi="Verdana"/>
          <w:sz w:val="20"/>
          <w:szCs w:val="20"/>
          <w:lang w:val="es-DO"/>
        </w:rPr>
        <w:t>entre otros. Las ventas al mercado local realizadas por las empresas de zonas franc</w:t>
      </w:r>
      <w:r w:rsidR="000A681C">
        <w:rPr>
          <w:rFonts w:ascii="Verdana" w:hAnsi="Verdana"/>
          <w:sz w:val="20"/>
          <w:szCs w:val="20"/>
          <w:lang w:val="es-DO"/>
        </w:rPr>
        <w:t>as nacionales, ascendieron a US$1.40</w:t>
      </w:r>
      <w:r w:rsidRPr="004F2DBF">
        <w:rPr>
          <w:rFonts w:ascii="Verdana" w:hAnsi="Verdana"/>
          <w:sz w:val="20"/>
          <w:szCs w:val="20"/>
          <w:lang w:val="es-DO"/>
        </w:rPr>
        <w:t xml:space="preserve"> millones de dólares, en productos como</w:t>
      </w:r>
      <w:r w:rsidR="00EE5A8A" w:rsidRPr="004F2DBF">
        <w:rPr>
          <w:rFonts w:ascii="Verdana" w:hAnsi="Verdana"/>
          <w:sz w:val="20"/>
          <w:szCs w:val="20"/>
          <w:lang w:val="es-DO"/>
        </w:rPr>
        <w:t xml:space="preserve">: </w:t>
      </w:r>
      <w:r w:rsidR="00EE5A8A">
        <w:rPr>
          <w:rFonts w:ascii="Verdana" w:hAnsi="Verdana"/>
          <w:sz w:val="20"/>
          <w:szCs w:val="20"/>
          <w:lang w:val="es-DO"/>
        </w:rPr>
        <w:t>leche</w:t>
      </w:r>
      <w:r w:rsidR="000A681C">
        <w:rPr>
          <w:rFonts w:ascii="Verdana" w:hAnsi="Verdana"/>
          <w:sz w:val="20"/>
          <w:szCs w:val="20"/>
          <w:lang w:val="es-DO"/>
        </w:rPr>
        <w:t xml:space="preserve"> evaporada, maicena, ron, cigarros, frijoles enlatados, chocolate, entre otros.</w:t>
      </w:r>
    </w:p>
    <w:p w:rsidR="000A681C" w:rsidRPr="009413D6" w:rsidRDefault="000A681C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color w:val="C00000"/>
          <w:sz w:val="20"/>
          <w:szCs w:val="20"/>
          <w:lang w:val="es-DO"/>
        </w:rPr>
      </w:pPr>
    </w:p>
    <w:p w:rsidR="002877FB" w:rsidRPr="004F2DBF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 w:rsidRPr="004F2DBF">
        <w:rPr>
          <w:rFonts w:ascii="Verdana" w:hAnsi="Verdana"/>
          <w:sz w:val="20"/>
          <w:szCs w:val="20"/>
          <w:lang w:val="es-DO"/>
        </w:rPr>
        <w:t xml:space="preserve">En términos de dinamismo es notorio  el crecimiento de las importaciones provenientes de  </w:t>
      </w:r>
      <w:r w:rsidR="000A681C">
        <w:rPr>
          <w:rFonts w:ascii="Verdana" w:hAnsi="Verdana"/>
          <w:sz w:val="20"/>
          <w:szCs w:val="20"/>
          <w:lang w:val="es-DO"/>
        </w:rPr>
        <w:t>Brasil</w:t>
      </w:r>
      <w:r w:rsidRPr="004F2DBF">
        <w:rPr>
          <w:rFonts w:ascii="Verdana" w:hAnsi="Verdana"/>
          <w:sz w:val="20"/>
          <w:szCs w:val="20"/>
          <w:lang w:val="es-DO"/>
        </w:rPr>
        <w:t xml:space="preserve">, </w:t>
      </w:r>
      <w:r w:rsidR="000A681C">
        <w:rPr>
          <w:rFonts w:ascii="Verdana" w:hAnsi="Verdana"/>
          <w:sz w:val="20"/>
          <w:szCs w:val="20"/>
          <w:lang w:val="es-DO"/>
        </w:rPr>
        <w:t>Honduras, México yArgentina</w:t>
      </w:r>
      <w:r w:rsidRPr="004F2DBF">
        <w:rPr>
          <w:rFonts w:ascii="Verdana" w:hAnsi="Verdana"/>
          <w:sz w:val="20"/>
          <w:szCs w:val="20"/>
          <w:lang w:val="es-DO"/>
        </w:rPr>
        <w:t xml:space="preserve">. </w:t>
      </w:r>
    </w:p>
    <w:p w:rsidR="002877FB" w:rsidRPr="009413D6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color w:val="C00000"/>
          <w:sz w:val="20"/>
          <w:szCs w:val="20"/>
          <w:lang w:val="es-DO"/>
        </w:rPr>
      </w:pPr>
    </w:p>
    <w:p w:rsidR="000A681C" w:rsidRDefault="000A681C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La participación de países o bloques con los cuales</w:t>
      </w:r>
      <w:r w:rsidR="00893E25">
        <w:rPr>
          <w:rFonts w:ascii="Verdana" w:hAnsi="Verdana"/>
          <w:sz w:val="20"/>
          <w:szCs w:val="20"/>
          <w:lang w:val="es-DO"/>
        </w:rPr>
        <w:t xml:space="preserve"> la RD tiene acuerdoscomerciales vigentes, continúala</w:t>
      </w:r>
      <w:r w:rsidR="00E9118B">
        <w:rPr>
          <w:rFonts w:ascii="Verdana" w:hAnsi="Verdana"/>
          <w:sz w:val="20"/>
          <w:szCs w:val="20"/>
          <w:lang w:val="es-DO"/>
        </w:rPr>
        <w:t xml:space="preserve"> tendencia de meses anteriores en relación con los diez principales suplidores. Estados Unidos, Honduras, Costa Rica y Guatemala forman parte del DR-CAFTA.  De la Unión Europea España y Noruega. Países fuera de Acuerdos comerciales est</w:t>
      </w:r>
      <w:r w:rsidR="00893E25">
        <w:rPr>
          <w:rFonts w:ascii="Verdana" w:hAnsi="Verdana"/>
          <w:sz w:val="20"/>
          <w:szCs w:val="20"/>
          <w:lang w:val="es-DO"/>
        </w:rPr>
        <w:t>á</w:t>
      </w:r>
      <w:r w:rsidR="00E9118B">
        <w:rPr>
          <w:rFonts w:ascii="Verdana" w:hAnsi="Verdana"/>
          <w:sz w:val="20"/>
          <w:szCs w:val="20"/>
          <w:lang w:val="es-DO"/>
        </w:rPr>
        <w:t xml:space="preserve"> Brasil, Argentina, México y Colombia.</w:t>
      </w:r>
    </w:p>
    <w:p w:rsidR="000A681C" w:rsidRDefault="000A681C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E9118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  <w:r>
        <w:rPr>
          <w:rFonts w:ascii="Verdana" w:hAnsi="Verdana"/>
          <w:sz w:val="20"/>
          <w:szCs w:val="20"/>
          <w:lang w:val="es-DO"/>
        </w:rPr>
        <w:t>De la CARICOM se reportan importaciones de</w:t>
      </w:r>
      <w:r w:rsidR="00E9118B">
        <w:rPr>
          <w:rFonts w:ascii="Verdana" w:hAnsi="Verdana"/>
          <w:sz w:val="20"/>
          <w:szCs w:val="20"/>
          <w:lang w:val="es-DO"/>
        </w:rPr>
        <w:t xml:space="preserve"> Jamaica, con hidrolizados de proteínas (supligen)</w:t>
      </w:r>
      <w:r w:rsidR="008A1559">
        <w:rPr>
          <w:rFonts w:ascii="Verdana" w:hAnsi="Verdana"/>
          <w:sz w:val="20"/>
          <w:szCs w:val="20"/>
          <w:lang w:val="es-DO"/>
        </w:rPr>
        <w:t>, de</w:t>
      </w:r>
      <w:r w:rsidR="00E9118B">
        <w:rPr>
          <w:rFonts w:ascii="Verdana" w:hAnsi="Verdana"/>
          <w:sz w:val="20"/>
          <w:szCs w:val="20"/>
          <w:lang w:val="es-DO"/>
        </w:rPr>
        <w:t xml:space="preserve"> Trinidad y Tobago de cereales inflados (cornflakes)</w:t>
      </w:r>
      <w:r w:rsidR="008A1559">
        <w:rPr>
          <w:rFonts w:ascii="Verdana" w:hAnsi="Verdana"/>
          <w:sz w:val="20"/>
          <w:szCs w:val="20"/>
          <w:lang w:val="es-DO"/>
        </w:rPr>
        <w:t>, condimentos desde Guyana</w:t>
      </w:r>
      <w:r w:rsidR="00EE5A8A">
        <w:rPr>
          <w:rFonts w:ascii="Verdana" w:hAnsi="Verdana"/>
          <w:sz w:val="20"/>
          <w:szCs w:val="20"/>
          <w:lang w:val="es-DO"/>
        </w:rPr>
        <w:t>.</w:t>
      </w:r>
    </w:p>
    <w:p w:rsidR="00E9118B" w:rsidRDefault="00E9118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Pr="0055510D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/>
          <w:sz w:val="20"/>
          <w:szCs w:val="20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8A1559" w:rsidRDefault="008A1559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F64722" w:rsidRDefault="00F64722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F64722" w:rsidRDefault="00F64722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2877FB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  <w:r w:rsidRPr="00D05C99">
        <w:rPr>
          <w:rFonts w:ascii="Verdana" w:hAnsi="Verdana" w:cs="Arial"/>
          <w:b/>
          <w:color w:val="222222"/>
          <w:u w:val="single"/>
          <w:lang w:val="es-DO"/>
        </w:rPr>
        <w:t>Subsector Lácteo</w:t>
      </w:r>
    </w:p>
    <w:p w:rsidR="008A1559" w:rsidRPr="00D05C99" w:rsidRDefault="008A1559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u w:val="single"/>
          <w:lang w:val="es-DO"/>
        </w:rPr>
      </w:pPr>
    </w:p>
    <w:p w:rsidR="002877FB" w:rsidRPr="00D05C99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lang w:val="es-DO"/>
        </w:rPr>
      </w:pPr>
    </w:p>
    <w:p w:rsidR="002877FB" w:rsidRPr="00D05C99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b/>
          <w:color w:val="222222"/>
          <w:lang w:val="es-DO"/>
        </w:rPr>
      </w:pPr>
    </w:p>
    <w:p w:rsidR="002877FB" w:rsidRPr="00457D01" w:rsidRDefault="003C415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 w:cs="Arial"/>
          <w:sz w:val="20"/>
          <w:szCs w:val="20"/>
          <w:lang w:val="es-DO"/>
        </w:rPr>
        <w:lastRenderedPageBreak/>
        <w:t>Los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 productos lácteos representaron</w:t>
      </w:r>
      <w:r>
        <w:rPr>
          <w:rFonts w:ascii="Verdana" w:hAnsi="Verdana" w:cs="Arial"/>
          <w:sz w:val="20"/>
          <w:szCs w:val="20"/>
          <w:lang w:val="es-DO"/>
        </w:rPr>
        <w:t xml:space="preserve"> el 5.66% del total de productos alimenticios importados 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con un valor de </w:t>
      </w:r>
      <w:r>
        <w:rPr>
          <w:rFonts w:ascii="Verdana" w:hAnsi="Verdana" w:cs="Arial"/>
          <w:sz w:val="20"/>
          <w:szCs w:val="20"/>
          <w:lang w:val="es-DO"/>
        </w:rPr>
        <w:t>once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 millones </w:t>
      </w:r>
      <w:r>
        <w:rPr>
          <w:rFonts w:ascii="Verdana" w:hAnsi="Verdana" w:cs="Arial"/>
          <w:sz w:val="20"/>
          <w:szCs w:val="20"/>
          <w:lang w:val="es-DO"/>
        </w:rPr>
        <w:t xml:space="preserve">sesenta y nueve 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 mil </w:t>
      </w:r>
      <w:r>
        <w:rPr>
          <w:rFonts w:ascii="Verdana" w:hAnsi="Verdana" w:cs="Arial"/>
          <w:sz w:val="20"/>
          <w:szCs w:val="20"/>
          <w:lang w:val="es-DO"/>
        </w:rPr>
        <w:t>setecientos noventa y nueve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 con </w:t>
      </w:r>
      <w:r>
        <w:rPr>
          <w:rFonts w:ascii="Verdana" w:hAnsi="Verdana" w:cs="Arial"/>
          <w:sz w:val="20"/>
          <w:szCs w:val="20"/>
          <w:lang w:val="es-DO"/>
        </w:rPr>
        <w:t>cinco (US$11</w:t>
      </w:r>
      <w:r w:rsidR="003B0B96">
        <w:rPr>
          <w:rFonts w:ascii="Verdana" w:hAnsi="Verdana" w:cs="Arial"/>
          <w:sz w:val="20"/>
          <w:szCs w:val="20"/>
          <w:lang w:val="es-DO"/>
        </w:rPr>
        <w:t>, 069,799.05)</w:t>
      </w:r>
      <w:r w:rsidR="003B0B96" w:rsidRPr="00457D01">
        <w:rPr>
          <w:rFonts w:ascii="Verdana" w:hAnsi="Verdana" w:cs="Arial"/>
          <w:sz w:val="20"/>
          <w:szCs w:val="20"/>
          <w:lang w:val="es-DO"/>
        </w:rPr>
        <w:t xml:space="preserve"> dólares</w:t>
      </w:r>
      <w:r w:rsidR="002877FB" w:rsidRPr="00457D01">
        <w:rPr>
          <w:rFonts w:ascii="Verdana" w:hAnsi="Verdana" w:cs="Arial"/>
          <w:sz w:val="20"/>
          <w:szCs w:val="20"/>
          <w:lang w:val="es-DO"/>
        </w:rPr>
        <w:t xml:space="preserve"> en valor FOB.</w:t>
      </w:r>
    </w:p>
    <w:p w:rsidR="002877FB" w:rsidRPr="006F4D47" w:rsidRDefault="002877FB" w:rsidP="002877FB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color w:val="FF0000"/>
          <w:sz w:val="20"/>
          <w:szCs w:val="20"/>
          <w:lang w:val="es-DO"/>
        </w:rPr>
      </w:pPr>
    </w:p>
    <w:p w:rsidR="002877FB" w:rsidRPr="00DB3BD7" w:rsidRDefault="003B0B96" w:rsidP="002877FB">
      <w:pPr>
        <w:spacing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  <w:r>
        <w:rPr>
          <w:rFonts w:ascii="Verdana" w:hAnsi="Verdana" w:cs="Arial"/>
          <w:sz w:val="20"/>
          <w:szCs w:val="20"/>
          <w:lang w:val="es-DO"/>
        </w:rPr>
        <w:t>Los quesosocuparon</w:t>
      </w:r>
      <w:r w:rsidR="002877FB" w:rsidRPr="00DB3BD7">
        <w:rPr>
          <w:rFonts w:ascii="Verdana" w:hAnsi="Verdana" w:cs="Arial"/>
          <w:sz w:val="20"/>
          <w:szCs w:val="20"/>
          <w:lang w:val="es-DO"/>
        </w:rPr>
        <w:t xml:space="preserve"> el</w:t>
      </w:r>
      <w:r w:rsidR="00AC7510">
        <w:rPr>
          <w:rFonts w:ascii="Verdana" w:hAnsi="Verdana" w:cs="Arial"/>
          <w:sz w:val="20"/>
          <w:szCs w:val="20"/>
          <w:lang w:val="es-DO"/>
        </w:rPr>
        <w:t xml:space="preserve"> primer lugar con valor FOB de </w:t>
      </w:r>
      <w:r>
        <w:rPr>
          <w:rFonts w:ascii="Verdana" w:hAnsi="Verdana" w:cs="Arial"/>
          <w:sz w:val="20"/>
          <w:szCs w:val="20"/>
          <w:lang w:val="es-DO"/>
        </w:rPr>
        <w:t>4</w:t>
      </w:r>
      <w:r w:rsidR="00AC7510">
        <w:rPr>
          <w:rFonts w:ascii="Verdana" w:hAnsi="Verdana" w:cs="Arial"/>
          <w:sz w:val="20"/>
          <w:szCs w:val="20"/>
          <w:lang w:val="es-DO"/>
        </w:rPr>
        <w:t xml:space="preserve"> millones </w:t>
      </w:r>
      <w:r>
        <w:rPr>
          <w:rFonts w:ascii="Verdana" w:hAnsi="Verdana" w:cs="Arial"/>
          <w:sz w:val="20"/>
          <w:szCs w:val="20"/>
          <w:lang w:val="es-DO"/>
        </w:rPr>
        <w:t>cuarenta y cinco</w:t>
      </w:r>
      <w:r w:rsidR="00AC7510">
        <w:rPr>
          <w:rFonts w:ascii="Verdana" w:hAnsi="Verdana" w:cs="Arial"/>
          <w:sz w:val="20"/>
          <w:szCs w:val="20"/>
          <w:lang w:val="es-DO"/>
        </w:rPr>
        <w:t xml:space="preserve"> mil </w:t>
      </w:r>
      <w:r>
        <w:rPr>
          <w:rFonts w:ascii="Verdana" w:hAnsi="Verdana" w:cs="Arial"/>
          <w:sz w:val="20"/>
          <w:szCs w:val="20"/>
          <w:lang w:val="es-DO"/>
        </w:rPr>
        <w:t>seiscientos sesenta y cuatro con diecinueve</w:t>
      </w:r>
      <w:r w:rsidR="002877FB" w:rsidRPr="00DB3BD7">
        <w:rPr>
          <w:rFonts w:ascii="Verdana" w:hAnsi="Verdana" w:cs="Arial"/>
          <w:sz w:val="20"/>
          <w:szCs w:val="20"/>
          <w:lang w:val="es-DO"/>
        </w:rPr>
        <w:t xml:space="preserve"> (</w:t>
      </w:r>
      <w:r w:rsidR="00AC7510">
        <w:rPr>
          <w:rFonts w:ascii="Verdana" w:hAnsi="Verdana" w:cs="Arial"/>
          <w:sz w:val="20"/>
          <w:szCs w:val="20"/>
          <w:lang w:val="es-DO"/>
        </w:rPr>
        <w:t>US$</w:t>
      </w:r>
      <w:r>
        <w:rPr>
          <w:rFonts w:ascii="Verdana" w:hAnsi="Verdana" w:cs="Arial"/>
          <w:sz w:val="20"/>
          <w:szCs w:val="20"/>
          <w:lang w:val="es-DO"/>
        </w:rPr>
        <w:t>4</w:t>
      </w:r>
      <w:r w:rsidR="002877FB" w:rsidRPr="00DB3BD7">
        <w:rPr>
          <w:rFonts w:ascii="Verdana" w:hAnsi="Verdana" w:cs="Arial"/>
          <w:sz w:val="20"/>
          <w:szCs w:val="20"/>
          <w:lang w:val="es-DO"/>
        </w:rPr>
        <w:t xml:space="preserve">, </w:t>
      </w:r>
      <w:r>
        <w:rPr>
          <w:rFonts w:ascii="Verdana" w:hAnsi="Verdana" w:cs="Arial"/>
          <w:sz w:val="20"/>
          <w:szCs w:val="20"/>
          <w:lang w:val="es-DO"/>
        </w:rPr>
        <w:t>045,664.19</w:t>
      </w:r>
      <w:r w:rsidR="002877FB" w:rsidRPr="00DB3BD7">
        <w:rPr>
          <w:rFonts w:ascii="Verdana" w:hAnsi="Verdana" w:cs="Arial"/>
          <w:sz w:val="20"/>
          <w:szCs w:val="20"/>
          <w:lang w:val="es-DO"/>
        </w:rPr>
        <w:t>) dólares, provenientes en mayor proporción de</w:t>
      </w:r>
      <w:r>
        <w:rPr>
          <w:rFonts w:ascii="Verdana" w:hAnsi="Verdana" w:cs="Arial"/>
          <w:sz w:val="20"/>
          <w:szCs w:val="20"/>
          <w:lang w:val="es-DO"/>
        </w:rPr>
        <w:t xml:space="preserve"> Estados Unidos, España, Italia, Francia, Dinamarca, Nueva Zelanda</w:t>
      </w:r>
      <w:r w:rsidR="00FB4162">
        <w:rPr>
          <w:rFonts w:ascii="Verdana" w:hAnsi="Verdana" w:cs="Arial"/>
          <w:sz w:val="20"/>
          <w:szCs w:val="20"/>
          <w:lang w:val="es-DO"/>
        </w:rPr>
        <w:t xml:space="preserve"> las  cuales representaron el 36.57% </w:t>
      </w:r>
      <w:r w:rsidR="002877FB">
        <w:rPr>
          <w:rFonts w:ascii="Verdana" w:hAnsi="Verdana" w:cs="Arial"/>
          <w:sz w:val="20"/>
          <w:szCs w:val="20"/>
          <w:lang w:val="es-DO"/>
        </w:rPr>
        <w:t>del total de productos lácteos importados en el mes de ju</w:t>
      </w:r>
      <w:r w:rsidR="00FB4162">
        <w:rPr>
          <w:rFonts w:ascii="Verdana" w:hAnsi="Verdana" w:cs="Arial"/>
          <w:sz w:val="20"/>
          <w:szCs w:val="20"/>
          <w:lang w:val="es-DO"/>
        </w:rPr>
        <w:t>l</w:t>
      </w:r>
      <w:r w:rsidR="002877FB">
        <w:rPr>
          <w:rFonts w:ascii="Verdana" w:hAnsi="Verdana" w:cs="Arial"/>
          <w:sz w:val="20"/>
          <w:szCs w:val="20"/>
          <w:lang w:val="es-DO"/>
        </w:rPr>
        <w:t>io.</w:t>
      </w:r>
    </w:p>
    <w:p w:rsidR="00FB4162" w:rsidRDefault="00FB4162" w:rsidP="002877FB">
      <w:pPr>
        <w:spacing w:line="240" w:lineRule="auto"/>
        <w:jc w:val="both"/>
        <w:rPr>
          <w:rFonts w:ascii="Verdana" w:hAnsi="Verdana" w:cs="Arial"/>
          <w:color w:val="222222"/>
          <w:sz w:val="20"/>
          <w:szCs w:val="20"/>
          <w:lang w:val="es-DO"/>
        </w:rPr>
      </w:pPr>
      <w:r>
        <w:rPr>
          <w:rFonts w:ascii="Verdana" w:hAnsi="Verdana" w:cs="Arial"/>
          <w:color w:val="222222"/>
          <w:sz w:val="20"/>
          <w:szCs w:val="20"/>
          <w:lang w:val="es-DO"/>
        </w:rPr>
        <w:t xml:space="preserve">Leche en polvo ocupa el segundo lugar de la cual se importó dos millones seiscientos sesenta y ocho mil novecientos veintinueve con sesenta y dos (US$2,668,929.62) dólares, para un </w:t>
      </w:r>
      <w:r w:rsidR="00F7602C">
        <w:rPr>
          <w:rFonts w:ascii="Verdana" w:hAnsi="Verdana" w:cs="Arial"/>
          <w:color w:val="222222"/>
          <w:sz w:val="20"/>
          <w:szCs w:val="20"/>
          <w:lang w:val="es-DO"/>
        </w:rPr>
        <w:t>27.63%</w:t>
      </w:r>
      <w:r w:rsidR="00CD108B">
        <w:rPr>
          <w:rFonts w:ascii="Verdana" w:hAnsi="Verdana" w:cs="Arial"/>
          <w:color w:val="222222"/>
          <w:sz w:val="20"/>
          <w:szCs w:val="20"/>
          <w:lang w:val="es-DO"/>
        </w:rPr>
        <w:t>, las cuales proceden de Estados Unidos, Nueva Zelanda, Perú principalmente.</w:t>
      </w:r>
    </w:p>
    <w:p w:rsidR="00CD108B" w:rsidRDefault="00CD108B" w:rsidP="002877FB">
      <w:pPr>
        <w:spacing w:line="240" w:lineRule="auto"/>
        <w:jc w:val="both"/>
        <w:rPr>
          <w:rFonts w:ascii="Verdana" w:hAnsi="Verdana" w:cs="Arial"/>
          <w:color w:val="222222"/>
          <w:sz w:val="20"/>
          <w:szCs w:val="20"/>
          <w:lang w:val="es-DO"/>
        </w:rPr>
      </w:pPr>
      <w:r>
        <w:rPr>
          <w:rFonts w:ascii="Verdana" w:hAnsi="Verdana" w:cs="Arial"/>
          <w:color w:val="222222"/>
          <w:sz w:val="20"/>
          <w:szCs w:val="20"/>
          <w:lang w:val="es-DO"/>
        </w:rPr>
        <w:t>Le sigue en importancia la leche líquida con importaciones por valor FOB de dos millones trescientos setenta y cinco mil cuatrocientos setenta y ocho con ochenta y seis (</w:t>
      </w:r>
      <w:r w:rsidR="00A73416">
        <w:rPr>
          <w:rFonts w:ascii="Verdana" w:hAnsi="Verdana" w:cs="Arial"/>
          <w:color w:val="222222"/>
          <w:sz w:val="20"/>
          <w:szCs w:val="20"/>
          <w:lang w:val="es-DO"/>
        </w:rPr>
        <w:t>US$2, 375,478.86) dólares, representando el 20.83% de los lácteos importados, procedentes de Estados Unidos, Francia y Costa Rica.</w:t>
      </w:r>
    </w:p>
    <w:p w:rsidR="00895DC9" w:rsidRDefault="00A73416" w:rsidP="002877FB">
      <w:pPr>
        <w:spacing w:line="240" w:lineRule="auto"/>
        <w:jc w:val="both"/>
        <w:rPr>
          <w:rFonts w:ascii="Verdana" w:hAnsi="Verdana" w:cs="Arial"/>
          <w:color w:val="222222"/>
          <w:sz w:val="20"/>
          <w:szCs w:val="20"/>
          <w:lang w:val="es-DO"/>
        </w:rPr>
      </w:pPr>
      <w:r>
        <w:rPr>
          <w:rFonts w:ascii="Verdana" w:hAnsi="Verdana" w:cs="Arial"/>
          <w:color w:val="222222"/>
          <w:sz w:val="20"/>
          <w:szCs w:val="20"/>
          <w:lang w:val="es-DO"/>
        </w:rPr>
        <w:t>Los lactosueros procedentes de Estados Unidos y Nueva Zelanda ascendieron a un valor de US$850,418.16, para un 7.97%.</w:t>
      </w:r>
      <w:r w:rsidR="00895DC9">
        <w:rPr>
          <w:rFonts w:ascii="Verdana" w:hAnsi="Verdana" w:cs="Arial"/>
          <w:color w:val="222222"/>
          <w:sz w:val="20"/>
          <w:szCs w:val="20"/>
          <w:lang w:val="es-DO"/>
        </w:rPr>
        <w:t xml:space="preserve">  De mantequilla se importó cuatrocientos diecisiete mil quinientos cinco con cincuenta y seis (US$417,505.56) dólares, Estados Unidos, Francia, Dinamarca, España son los principales proveedores.</w:t>
      </w:r>
    </w:p>
    <w:p w:rsidR="00EB339F" w:rsidRDefault="00893E25" w:rsidP="002877FB">
      <w:pPr>
        <w:spacing w:line="240" w:lineRule="auto"/>
        <w:jc w:val="both"/>
        <w:rPr>
          <w:rFonts w:ascii="Verdana" w:eastAsia="Times New Roman" w:hAnsi="Verdana" w:cs="Times New Roman"/>
          <w:bCs/>
          <w:sz w:val="20"/>
          <w:szCs w:val="20"/>
          <w:lang w:val="es-DO"/>
        </w:rPr>
      </w:pPr>
      <w:r>
        <w:rPr>
          <w:rFonts w:ascii="Verdana" w:eastAsia="Times New Roman" w:hAnsi="Verdana" w:cs="Times New Roman"/>
          <w:bCs/>
          <w:sz w:val="20"/>
          <w:szCs w:val="20"/>
          <w:lang w:val="es-DO"/>
        </w:rPr>
        <w:t>Los</w:t>
      </w:r>
      <w:r w:rsidR="002877FB" w:rsidRPr="00DB3BD7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 yogurts y demás leches</w:t>
      </w:r>
      <w:r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 y natas fermentadas, se importaron por valor de</w:t>
      </w:r>
      <w:r w:rsidR="00EB339F">
        <w:rPr>
          <w:rFonts w:ascii="Verdana" w:eastAsia="Times New Roman" w:hAnsi="Verdana" w:cs="Times New Roman"/>
          <w:sz w:val="20"/>
          <w:szCs w:val="20"/>
          <w:lang w:val="es-DO"/>
        </w:rPr>
        <w:t>229</w:t>
      </w:r>
      <w:r w:rsidR="002877FB">
        <w:rPr>
          <w:rFonts w:ascii="Verdana" w:eastAsia="Times New Roman" w:hAnsi="Verdana" w:cs="Times New Roman"/>
          <w:sz w:val="20"/>
          <w:szCs w:val="20"/>
          <w:lang w:val="es-DO"/>
        </w:rPr>
        <w:t xml:space="preserve"> mil </w:t>
      </w:r>
      <w:r w:rsidR="00EB339F">
        <w:rPr>
          <w:rFonts w:ascii="Verdana" w:eastAsia="Times New Roman" w:hAnsi="Verdana" w:cs="Times New Roman"/>
          <w:sz w:val="20"/>
          <w:szCs w:val="20"/>
          <w:lang w:val="es-DO"/>
        </w:rPr>
        <w:t>965.10</w:t>
      </w:r>
      <w:r w:rsidR="002877FB" w:rsidRPr="00DB3BD7">
        <w:rPr>
          <w:rFonts w:ascii="Verdana" w:eastAsia="Times New Roman" w:hAnsi="Verdana" w:cs="Times New Roman"/>
          <w:sz w:val="20"/>
          <w:szCs w:val="20"/>
          <w:lang w:val="es-DO"/>
        </w:rPr>
        <w:t xml:space="preserve">dólares desde Estados </w:t>
      </w:r>
      <w:r w:rsidR="00EB339F" w:rsidRPr="00DB3BD7">
        <w:rPr>
          <w:rFonts w:ascii="Verdana" w:eastAsia="Times New Roman" w:hAnsi="Verdana" w:cs="Times New Roman"/>
          <w:sz w:val="20"/>
          <w:szCs w:val="20"/>
          <w:lang w:val="es-DO"/>
        </w:rPr>
        <w:t>Unidos, Francia</w:t>
      </w:r>
      <w:r w:rsidR="00EB339F">
        <w:rPr>
          <w:rFonts w:ascii="Verdana" w:eastAsia="Times New Roman" w:hAnsi="Verdana" w:cs="Times New Roman"/>
          <w:sz w:val="20"/>
          <w:szCs w:val="20"/>
          <w:lang w:val="es-DO"/>
        </w:rPr>
        <w:t xml:space="preserve"> y </w:t>
      </w:r>
      <w:r w:rsidR="00EB339F" w:rsidRPr="00EB339F">
        <w:rPr>
          <w:rFonts w:ascii="Verdana" w:eastAsia="Times New Roman" w:hAnsi="Verdana" w:cs="Times New Roman"/>
          <w:sz w:val="20"/>
          <w:szCs w:val="20"/>
          <w:lang w:val="es-DO"/>
        </w:rPr>
        <w:t xml:space="preserve">España, las cuales representaron </w:t>
      </w:r>
      <w:r w:rsidR="00EB339F">
        <w:rPr>
          <w:rFonts w:ascii="Verdana" w:eastAsia="Times New Roman" w:hAnsi="Verdana" w:cs="Times New Roman"/>
          <w:sz w:val="20"/>
          <w:szCs w:val="20"/>
          <w:lang w:val="es-DO"/>
        </w:rPr>
        <w:t>el 2.08% de las importaciones de este sector.</w:t>
      </w:r>
    </w:p>
    <w:p w:rsidR="002877FB" w:rsidRPr="006E3FEE" w:rsidRDefault="002877FB" w:rsidP="002877FB">
      <w:pPr>
        <w:spacing w:line="240" w:lineRule="auto"/>
        <w:jc w:val="both"/>
        <w:rPr>
          <w:rFonts w:ascii="Verdana" w:eastAsia="Times New Roman" w:hAnsi="Verdana" w:cs="Times New Roman"/>
          <w:bCs/>
          <w:sz w:val="20"/>
          <w:szCs w:val="20"/>
          <w:lang w:val="es-DO"/>
        </w:rPr>
      </w:pP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>Estados Unidos fué el principal suplidor de productos lácteos durante el mes de ju</w:t>
      </w:r>
      <w:r w:rsidR="00EB339F">
        <w:rPr>
          <w:rFonts w:ascii="Verdana" w:eastAsia="Times New Roman" w:hAnsi="Verdana" w:cs="Times New Roman"/>
          <w:bCs/>
          <w:sz w:val="20"/>
          <w:szCs w:val="20"/>
          <w:lang w:val="es-DO"/>
        </w:rPr>
        <w:t>l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>io, con el</w:t>
      </w:r>
      <w:r w:rsidR="006E3FEE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 36.25%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 de las importaciones, elsegundo lugar </w:t>
      </w:r>
      <w:r w:rsidR="00274B47"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fué 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ocupado por </w:t>
      </w:r>
      <w:r w:rsidR="004F3079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Nueva Zelanda 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con un </w:t>
      </w:r>
      <w:r w:rsidR="004F3079">
        <w:rPr>
          <w:rFonts w:ascii="Verdana" w:eastAsia="Times New Roman" w:hAnsi="Verdana" w:cs="Times New Roman"/>
          <w:bCs/>
          <w:sz w:val="20"/>
          <w:szCs w:val="20"/>
          <w:lang w:val="es-DO"/>
        </w:rPr>
        <w:t>13.89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%, seguido de </w:t>
      </w:r>
      <w:r w:rsidR="004F3079">
        <w:rPr>
          <w:rFonts w:ascii="Verdana" w:eastAsia="Times New Roman" w:hAnsi="Verdana" w:cs="Times New Roman"/>
          <w:bCs/>
          <w:sz w:val="20"/>
          <w:szCs w:val="20"/>
          <w:lang w:val="es-DO"/>
        </w:rPr>
        <w:t>Costa Rica</w:t>
      </w:r>
      <w:r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 con un </w:t>
      </w:r>
      <w:r w:rsidR="004F3079">
        <w:rPr>
          <w:rFonts w:ascii="Verdana" w:eastAsia="Times New Roman" w:hAnsi="Verdana" w:cs="Times New Roman"/>
          <w:bCs/>
          <w:sz w:val="20"/>
          <w:szCs w:val="20"/>
          <w:lang w:val="es-DO"/>
        </w:rPr>
        <w:t>9.96</w:t>
      </w:r>
      <w:r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%, </w:t>
      </w:r>
      <w:r w:rsidR="004F3079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España con el 7.66% </w:t>
      </w:r>
      <w:r w:rsidRPr="006A016D">
        <w:rPr>
          <w:rFonts w:ascii="Verdana" w:eastAsia="Times New Roman" w:hAnsi="Verdana" w:cs="Times New Roman"/>
          <w:bCs/>
          <w:sz w:val="20"/>
          <w:szCs w:val="20"/>
          <w:lang w:val="es-DO"/>
        </w:rPr>
        <w:t xml:space="preserve">completan la lista de mayores suplidores </w:t>
      </w:r>
      <w:r>
        <w:rPr>
          <w:rFonts w:ascii="Verdana" w:eastAsia="Times New Roman" w:hAnsi="Verdana" w:cs="Times New Roman"/>
          <w:bCs/>
          <w:sz w:val="20"/>
          <w:szCs w:val="20"/>
          <w:lang w:val="es-DO"/>
        </w:rPr>
        <w:t>de productos lácteos</w:t>
      </w:r>
      <w:r w:rsidR="000B4CCE">
        <w:rPr>
          <w:rFonts w:ascii="Verdana" w:eastAsia="Times New Roman" w:hAnsi="Verdana" w:cs="Times New Roman"/>
          <w:bCs/>
          <w:sz w:val="20"/>
          <w:szCs w:val="20"/>
          <w:lang w:val="es-DO"/>
        </w:rPr>
        <w:t>.</w:t>
      </w:r>
    </w:p>
    <w:p w:rsidR="002877FB" w:rsidRDefault="002877FB" w:rsidP="002877FB">
      <w:pPr>
        <w:spacing w:line="240" w:lineRule="auto"/>
        <w:jc w:val="both"/>
        <w:rPr>
          <w:rFonts w:ascii="Verdana" w:eastAsia="Times New Roman" w:hAnsi="Verdana" w:cs="Times New Roman"/>
          <w:bCs/>
          <w:sz w:val="20"/>
          <w:szCs w:val="20"/>
          <w:lang w:val="es-DO"/>
        </w:rPr>
      </w:pPr>
    </w:p>
    <w:p w:rsidR="002877FB" w:rsidRDefault="002877FB" w:rsidP="002877FB">
      <w:pPr>
        <w:spacing w:line="240" w:lineRule="auto"/>
        <w:jc w:val="both"/>
        <w:rPr>
          <w:rFonts w:ascii="Verdana" w:eastAsia="Times New Roman" w:hAnsi="Verdana" w:cs="Times New Roman"/>
          <w:bCs/>
          <w:sz w:val="20"/>
          <w:szCs w:val="20"/>
          <w:lang w:val="es-DO"/>
        </w:rPr>
      </w:pPr>
    </w:p>
    <w:p w:rsidR="002877FB" w:rsidRDefault="002877FB" w:rsidP="002877FB">
      <w:pPr>
        <w:spacing w:line="240" w:lineRule="auto"/>
        <w:jc w:val="both"/>
        <w:rPr>
          <w:rFonts w:ascii="Verdana" w:eastAsia="Times New Roman" w:hAnsi="Verdana" w:cs="Times New Roman"/>
          <w:bCs/>
          <w:sz w:val="20"/>
          <w:szCs w:val="20"/>
          <w:lang w:val="es-DO"/>
        </w:rPr>
      </w:pPr>
    </w:p>
    <w:p w:rsidR="002877FB" w:rsidRDefault="002877FB" w:rsidP="002877FB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2877FB" w:rsidRDefault="002877FB" w:rsidP="002877FB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2877FB" w:rsidRDefault="002877FB" w:rsidP="002877FB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2877FB" w:rsidRDefault="002877FB" w:rsidP="002877FB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2877FB" w:rsidRDefault="002877FB" w:rsidP="0055510D">
      <w:pPr>
        <w:autoSpaceDE w:val="0"/>
        <w:autoSpaceDN w:val="0"/>
        <w:adjustRightInd w:val="0"/>
        <w:spacing w:after="0" w:line="240" w:lineRule="auto"/>
        <w:jc w:val="both"/>
        <w:rPr>
          <w:rFonts w:ascii="Verdana" w:hAnsi="Verdana" w:cs="Arial"/>
          <w:sz w:val="20"/>
          <w:szCs w:val="20"/>
          <w:lang w:val="es-DO"/>
        </w:rPr>
      </w:pPr>
    </w:p>
    <w:p w:rsidR="00463E4C" w:rsidRDefault="00463E4C" w:rsidP="003379EB">
      <w:pPr>
        <w:rPr>
          <w:noProof/>
          <w:lang w:val="es-DO"/>
        </w:rPr>
        <w:sectPr w:rsidR="00463E4C" w:rsidSect="00566EDB">
          <w:footerReference w:type="default" r:id="rId14"/>
          <w:pgSz w:w="12240" w:h="15840"/>
          <w:pgMar w:top="1417" w:right="1701" w:bottom="1417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311F6" w:rsidRPr="00A43409" w:rsidRDefault="004311F6" w:rsidP="00397E06">
      <w:pPr>
        <w:spacing w:line="240" w:lineRule="auto"/>
        <w:jc w:val="center"/>
        <w:rPr>
          <w:rFonts w:ascii="Verdana" w:eastAsia="Times New Roman" w:hAnsi="Verdana" w:cs="Times New Roman"/>
          <w:b/>
          <w:bCs/>
          <w:color w:val="FF0000"/>
          <w:sz w:val="20"/>
          <w:szCs w:val="20"/>
          <w:lang w:val="es-DO"/>
        </w:rPr>
      </w:pPr>
      <w:r w:rsidRPr="00ED1DCA">
        <w:rPr>
          <w:rFonts w:ascii="Tahoma" w:hAnsi="Tahoma" w:cs="Tahoma"/>
          <w:b/>
          <w:lang w:val="es-DO"/>
        </w:rPr>
        <w:lastRenderedPageBreak/>
        <w:t>GRÁFICO No.1</w:t>
      </w:r>
    </w:p>
    <w:p w:rsidR="004311F6" w:rsidRDefault="004311F6" w:rsidP="004311F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 w:rsidRPr="00A92EF3">
        <w:rPr>
          <w:rFonts w:ascii="Tahoma" w:hAnsi="Tahoma" w:cs="Tahoma"/>
          <w:sz w:val="18"/>
          <w:szCs w:val="18"/>
          <w:lang w:val="es-DO"/>
        </w:rPr>
        <w:t>DISTRIBUCIÓN DE IMPORTACIONES SEGÚN CLASIFICACIÓN ARANCELARIA</w:t>
      </w:r>
    </w:p>
    <w:p w:rsidR="00F64722" w:rsidRPr="003379EB" w:rsidRDefault="00F64722" w:rsidP="003379EB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F64722" w:rsidRDefault="00F64722" w:rsidP="00F64722">
      <w:pPr>
        <w:autoSpaceDE w:val="0"/>
        <w:autoSpaceDN w:val="0"/>
        <w:adjustRightInd w:val="0"/>
        <w:spacing w:after="0" w:line="240" w:lineRule="auto"/>
        <w:jc w:val="center"/>
        <w:rPr>
          <w:noProof/>
          <w:lang w:val="es-DO" w:eastAsia="es-DO"/>
        </w:rPr>
      </w:pPr>
    </w:p>
    <w:p w:rsidR="00F64722" w:rsidRDefault="00397E06" w:rsidP="00397E06">
      <w:pPr>
        <w:autoSpaceDE w:val="0"/>
        <w:autoSpaceDN w:val="0"/>
        <w:adjustRightInd w:val="0"/>
        <w:spacing w:after="0" w:line="240" w:lineRule="auto"/>
        <w:ind w:left="-630" w:right="-584"/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7258050" cy="3295650"/>
            <wp:effectExtent l="0" t="0" r="19050" b="19050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0615D4" w:rsidRDefault="000615D4" w:rsidP="00E51AE6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EF792D" w:rsidRDefault="00EF792D" w:rsidP="00E51AE6">
      <w:pPr>
        <w:spacing w:line="240" w:lineRule="auto"/>
        <w:jc w:val="center"/>
        <w:rPr>
          <w:rFonts w:ascii="Tahoma" w:hAnsi="Tahoma" w:cs="Tahoma"/>
          <w:b/>
          <w:lang w:val="es-DO"/>
        </w:rPr>
      </w:pPr>
    </w:p>
    <w:p w:rsidR="004311F6" w:rsidRPr="00A43409" w:rsidRDefault="004311F6" w:rsidP="00E51AE6">
      <w:pPr>
        <w:spacing w:line="240" w:lineRule="auto"/>
        <w:jc w:val="center"/>
        <w:rPr>
          <w:rFonts w:ascii="Verdana" w:eastAsia="Times New Roman" w:hAnsi="Verdana" w:cs="Times New Roman"/>
          <w:b/>
          <w:bCs/>
          <w:color w:val="FF0000"/>
          <w:sz w:val="20"/>
          <w:szCs w:val="20"/>
          <w:lang w:val="es-DO"/>
        </w:rPr>
      </w:pPr>
      <w:r w:rsidRPr="00ED1DCA">
        <w:rPr>
          <w:rFonts w:ascii="Tahoma" w:hAnsi="Tahoma" w:cs="Tahoma"/>
          <w:b/>
          <w:lang w:val="es-DO"/>
        </w:rPr>
        <w:lastRenderedPageBreak/>
        <w:t>GRÁ</w:t>
      </w:r>
      <w:r>
        <w:rPr>
          <w:rFonts w:ascii="Tahoma" w:hAnsi="Tahoma" w:cs="Tahoma"/>
          <w:b/>
          <w:lang w:val="es-DO"/>
        </w:rPr>
        <w:t>FICO No.2</w:t>
      </w:r>
    </w:p>
    <w:p w:rsidR="00EF792D" w:rsidRDefault="004311F6" w:rsidP="004311F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 w:rsidRPr="00A92EF3">
        <w:rPr>
          <w:rFonts w:ascii="Tahoma" w:hAnsi="Tahoma" w:cs="Tahoma"/>
          <w:sz w:val="18"/>
          <w:szCs w:val="18"/>
          <w:lang w:val="es-DO"/>
        </w:rPr>
        <w:t>DISTRIBUCIÓN DE IMPORTACIONES SEGÚN</w:t>
      </w:r>
      <w:r>
        <w:rPr>
          <w:rFonts w:ascii="Tahoma" w:hAnsi="Tahoma" w:cs="Tahoma"/>
          <w:sz w:val="18"/>
          <w:szCs w:val="18"/>
          <w:lang w:val="es-DO"/>
        </w:rPr>
        <w:t xml:space="preserve"> ORIGEN</w:t>
      </w:r>
      <w:r w:rsidR="000615D4">
        <w:rPr>
          <w:rFonts w:ascii="Tahoma" w:hAnsi="Tahoma" w:cs="Tahoma"/>
          <w:sz w:val="18"/>
          <w:szCs w:val="18"/>
          <w:lang w:val="es-DO"/>
        </w:rPr>
        <w:t>,</w:t>
      </w:r>
    </w:p>
    <w:p w:rsidR="004311F6" w:rsidRDefault="004F3079" w:rsidP="004311F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rFonts w:ascii="Tahoma" w:hAnsi="Tahoma" w:cs="Tahoma"/>
          <w:sz w:val="18"/>
          <w:szCs w:val="18"/>
          <w:lang w:val="es-DO"/>
        </w:rPr>
        <w:t>Jul</w:t>
      </w:r>
      <w:r w:rsidR="004311F6">
        <w:rPr>
          <w:rFonts w:ascii="Tahoma" w:hAnsi="Tahoma" w:cs="Tahoma"/>
          <w:sz w:val="18"/>
          <w:szCs w:val="18"/>
          <w:lang w:val="es-DO"/>
        </w:rPr>
        <w:t>io, 2015</w:t>
      </w:r>
    </w:p>
    <w:p w:rsidR="004D3250" w:rsidRDefault="004D3250" w:rsidP="004311F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B15F49" w:rsidRDefault="00B15F49" w:rsidP="004311F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B531CD" w:rsidRDefault="00397E06" w:rsidP="00397E06">
      <w:pPr>
        <w:spacing w:line="240" w:lineRule="auto"/>
        <w:ind w:left="-810"/>
        <w:jc w:val="center"/>
        <w:rPr>
          <w:rFonts w:ascii="Tahoma" w:hAnsi="Tahoma" w:cs="Tahoma"/>
          <w:b/>
          <w:lang w:val="es-DO"/>
        </w:rPr>
      </w:pPr>
      <w:r>
        <w:rPr>
          <w:noProof/>
          <w:lang w:val="es-DO" w:eastAsia="es-DO"/>
        </w:rPr>
        <w:drawing>
          <wp:inline distT="0" distB="0" distL="0" distR="0">
            <wp:extent cx="9277350" cy="3619500"/>
            <wp:effectExtent l="0" t="0" r="19050" b="1905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51AE6" w:rsidRPr="00A43409" w:rsidRDefault="00E51AE6" w:rsidP="004D3250">
      <w:pPr>
        <w:spacing w:line="240" w:lineRule="auto"/>
        <w:jc w:val="center"/>
        <w:rPr>
          <w:rFonts w:ascii="Verdana" w:eastAsia="Times New Roman" w:hAnsi="Verdana" w:cs="Times New Roman"/>
          <w:b/>
          <w:bCs/>
          <w:color w:val="FF0000"/>
          <w:sz w:val="20"/>
          <w:szCs w:val="20"/>
          <w:lang w:val="es-DO"/>
        </w:rPr>
      </w:pPr>
      <w:r w:rsidRPr="00ED1DCA">
        <w:rPr>
          <w:rFonts w:ascii="Tahoma" w:hAnsi="Tahoma" w:cs="Tahoma"/>
          <w:b/>
          <w:lang w:val="es-DO"/>
        </w:rPr>
        <w:lastRenderedPageBreak/>
        <w:t>GRÁFICO No.</w:t>
      </w:r>
      <w:r w:rsidR="001365C5">
        <w:rPr>
          <w:rFonts w:ascii="Tahoma" w:hAnsi="Tahoma" w:cs="Tahoma"/>
          <w:b/>
          <w:lang w:val="es-DO"/>
        </w:rPr>
        <w:t>3</w:t>
      </w:r>
    </w:p>
    <w:p w:rsidR="00E51AE6" w:rsidRDefault="00E51AE6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 w:rsidRPr="00A92EF3">
        <w:rPr>
          <w:rFonts w:ascii="Tahoma" w:hAnsi="Tahoma" w:cs="Tahoma"/>
          <w:sz w:val="18"/>
          <w:szCs w:val="18"/>
          <w:lang w:val="es-DO"/>
        </w:rPr>
        <w:t xml:space="preserve">DISTRIBUCIÓN DE IMPORTACIONES </w:t>
      </w:r>
      <w:r>
        <w:rPr>
          <w:rFonts w:ascii="Tahoma" w:hAnsi="Tahoma" w:cs="Tahoma"/>
          <w:sz w:val="18"/>
          <w:szCs w:val="18"/>
          <w:lang w:val="es-DO"/>
        </w:rPr>
        <w:t>L</w:t>
      </w:r>
      <w:r w:rsidR="000B4CCE">
        <w:rPr>
          <w:rFonts w:ascii="Tahoma" w:hAnsi="Tahoma" w:cs="Tahoma"/>
          <w:sz w:val="18"/>
          <w:szCs w:val="18"/>
          <w:lang w:val="es-DO"/>
        </w:rPr>
        <w:t>Á</w:t>
      </w:r>
      <w:r>
        <w:rPr>
          <w:rFonts w:ascii="Tahoma" w:hAnsi="Tahoma" w:cs="Tahoma"/>
          <w:sz w:val="18"/>
          <w:szCs w:val="18"/>
          <w:lang w:val="es-DO"/>
        </w:rPr>
        <w:t>CTEAS</w:t>
      </w:r>
    </w:p>
    <w:p w:rsidR="00E51AE6" w:rsidRDefault="00E51AE6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rFonts w:ascii="Tahoma" w:hAnsi="Tahoma" w:cs="Tahoma"/>
          <w:sz w:val="18"/>
          <w:szCs w:val="18"/>
          <w:lang w:val="es-DO"/>
        </w:rPr>
        <w:t>SEGÚN PARTIDA ARANCELARIA SA</w:t>
      </w:r>
    </w:p>
    <w:p w:rsidR="00E51AE6" w:rsidRDefault="001365C5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rFonts w:ascii="Tahoma" w:hAnsi="Tahoma" w:cs="Tahoma"/>
          <w:sz w:val="18"/>
          <w:szCs w:val="18"/>
          <w:lang w:val="es-DO"/>
        </w:rPr>
        <w:t>Jul</w:t>
      </w:r>
      <w:r w:rsidR="00E51AE6">
        <w:rPr>
          <w:rFonts w:ascii="Tahoma" w:hAnsi="Tahoma" w:cs="Tahoma"/>
          <w:sz w:val="18"/>
          <w:szCs w:val="18"/>
          <w:lang w:val="es-DO"/>
        </w:rPr>
        <w:t>io,2015</w:t>
      </w:r>
    </w:p>
    <w:p w:rsidR="00E51AE6" w:rsidRDefault="00E51AE6" w:rsidP="004D3250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18"/>
          <w:szCs w:val="18"/>
          <w:lang w:val="es-DO"/>
        </w:rPr>
      </w:pPr>
    </w:p>
    <w:p w:rsidR="00E51AE6" w:rsidRDefault="00A14777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noProof/>
          <w:lang w:val="es-DO" w:eastAsia="es-DO"/>
        </w:rPr>
        <w:drawing>
          <wp:inline distT="0" distB="0" distL="0" distR="0">
            <wp:extent cx="6191250" cy="2686050"/>
            <wp:effectExtent l="0" t="0" r="19050" b="1905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3379EB" w:rsidRDefault="003379EB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3379EB" w:rsidRDefault="003379EB" w:rsidP="00A14777">
      <w:pPr>
        <w:autoSpaceDE w:val="0"/>
        <w:autoSpaceDN w:val="0"/>
        <w:adjustRightInd w:val="0"/>
        <w:spacing w:after="0" w:line="240" w:lineRule="auto"/>
        <w:ind w:left="-810"/>
        <w:jc w:val="center"/>
        <w:rPr>
          <w:rFonts w:ascii="Tahoma" w:hAnsi="Tahoma" w:cs="Tahoma"/>
          <w:sz w:val="18"/>
          <w:szCs w:val="18"/>
          <w:lang w:val="es-DO"/>
        </w:rPr>
      </w:pPr>
    </w:p>
    <w:p w:rsidR="00A14777" w:rsidRDefault="00A14777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lang w:val="es-DO"/>
        </w:rPr>
      </w:pPr>
    </w:p>
    <w:p w:rsidR="00A14777" w:rsidRDefault="00A14777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lang w:val="es-DO"/>
        </w:rPr>
      </w:pPr>
    </w:p>
    <w:p w:rsidR="00EF792D" w:rsidRDefault="00EF792D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lang w:val="es-DO"/>
        </w:rPr>
      </w:pPr>
    </w:p>
    <w:p w:rsidR="00EF792D" w:rsidRDefault="00EF792D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lang w:val="es-DO"/>
        </w:rPr>
      </w:pPr>
    </w:p>
    <w:p w:rsidR="00E51AE6" w:rsidRDefault="00E51AE6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lang w:val="es-DO"/>
        </w:rPr>
      </w:pPr>
      <w:r w:rsidRPr="00ED1DCA">
        <w:rPr>
          <w:rFonts w:ascii="Tahoma" w:hAnsi="Tahoma" w:cs="Tahoma"/>
          <w:b/>
          <w:lang w:val="es-DO"/>
        </w:rPr>
        <w:lastRenderedPageBreak/>
        <w:t>GRÁFICO No.</w:t>
      </w:r>
      <w:r w:rsidR="001365C5">
        <w:rPr>
          <w:rFonts w:ascii="Tahoma" w:hAnsi="Tahoma" w:cs="Tahoma"/>
          <w:b/>
          <w:lang w:val="es-DO"/>
        </w:rPr>
        <w:t>4</w:t>
      </w:r>
    </w:p>
    <w:p w:rsidR="00A14777" w:rsidRPr="0000755D" w:rsidRDefault="00A14777" w:rsidP="0000755D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E51AE6" w:rsidRDefault="00E51AE6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 w:rsidRPr="00A92EF3">
        <w:rPr>
          <w:rFonts w:ascii="Tahoma" w:hAnsi="Tahoma" w:cs="Tahoma"/>
          <w:sz w:val="18"/>
          <w:szCs w:val="18"/>
          <w:lang w:val="es-DO"/>
        </w:rPr>
        <w:t xml:space="preserve">DISTRIBUCIÓN DE IMPORTACIONES </w:t>
      </w:r>
      <w:r>
        <w:rPr>
          <w:rFonts w:ascii="Tahoma" w:hAnsi="Tahoma" w:cs="Tahoma"/>
          <w:sz w:val="18"/>
          <w:szCs w:val="18"/>
          <w:lang w:val="es-DO"/>
        </w:rPr>
        <w:t>L</w:t>
      </w:r>
      <w:r w:rsidR="000B4CCE">
        <w:rPr>
          <w:rFonts w:ascii="Tahoma" w:hAnsi="Tahoma" w:cs="Tahoma"/>
          <w:sz w:val="18"/>
          <w:szCs w:val="18"/>
          <w:lang w:val="es-DO"/>
        </w:rPr>
        <w:t>Á</w:t>
      </w:r>
      <w:r>
        <w:rPr>
          <w:rFonts w:ascii="Tahoma" w:hAnsi="Tahoma" w:cs="Tahoma"/>
          <w:sz w:val="18"/>
          <w:szCs w:val="18"/>
          <w:lang w:val="es-DO"/>
        </w:rPr>
        <w:t>CTEAS</w:t>
      </w:r>
    </w:p>
    <w:p w:rsidR="00E51AE6" w:rsidRDefault="00E51AE6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rFonts w:ascii="Tahoma" w:hAnsi="Tahoma" w:cs="Tahoma"/>
          <w:sz w:val="18"/>
          <w:szCs w:val="18"/>
          <w:lang w:val="es-DO"/>
        </w:rPr>
        <w:t xml:space="preserve">SEGÚN </w:t>
      </w:r>
      <w:r w:rsidR="000B4CCE">
        <w:rPr>
          <w:rFonts w:ascii="Tahoma" w:hAnsi="Tahoma" w:cs="Tahoma"/>
          <w:sz w:val="18"/>
          <w:szCs w:val="18"/>
          <w:lang w:val="es-DO"/>
        </w:rPr>
        <w:t>ORIGEN</w:t>
      </w:r>
    </w:p>
    <w:p w:rsidR="00E51AE6" w:rsidRDefault="001365C5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rFonts w:ascii="Tahoma" w:hAnsi="Tahoma" w:cs="Tahoma"/>
          <w:sz w:val="18"/>
          <w:szCs w:val="18"/>
          <w:lang w:val="es-DO"/>
        </w:rPr>
        <w:t>Jul</w:t>
      </w:r>
      <w:r w:rsidR="00E51AE6">
        <w:rPr>
          <w:rFonts w:ascii="Tahoma" w:hAnsi="Tahoma" w:cs="Tahoma"/>
          <w:sz w:val="18"/>
          <w:szCs w:val="18"/>
          <w:lang w:val="es-DO"/>
        </w:rPr>
        <w:t>io</w:t>
      </w:r>
      <w:r w:rsidR="000B4CCE">
        <w:rPr>
          <w:rFonts w:ascii="Tahoma" w:hAnsi="Tahoma" w:cs="Tahoma"/>
          <w:sz w:val="18"/>
          <w:szCs w:val="18"/>
          <w:lang w:val="es-DO"/>
        </w:rPr>
        <w:t>, 2015</w:t>
      </w:r>
    </w:p>
    <w:p w:rsidR="0000755D" w:rsidRDefault="0000755D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00755D" w:rsidRDefault="0000755D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0B4CCE" w:rsidRDefault="000B4CCE" w:rsidP="0000755D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18"/>
          <w:szCs w:val="18"/>
          <w:lang w:val="es-DO"/>
        </w:rPr>
      </w:pPr>
    </w:p>
    <w:p w:rsidR="00E51AE6" w:rsidRDefault="00A14777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  <w:r>
        <w:rPr>
          <w:noProof/>
          <w:lang w:val="es-DO" w:eastAsia="es-DO"/>
        </w:rPr>
        <w:drawing>
          <wp:inline distT="0" distB="0" distL="0" distR="0">
            <wp:extent cx="5867400" cy="3314700"/>
            <wp:effectExtent l="0" t="0" r="19050" b="1905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E51AE6" w:rsidRDefault="00E51AE6" w:rsidP="00E51AE6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sz w:val="18"/>
          <w:szCs w:val="18"/>
          <w:lang w:val="es-DO"/>
        </w:rPr>
      </w:pPr>
    </w:p>
    <w:p w:rsidR="004311F6" w:rsidRPr="00A62496" w:rsidRDefault="004311F6" w:rsidP="00A62496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0"/>
          <w:szCs w:val="20"/>
          <w:lang w:val="es-DO"/>
        </w:rPr>
      </w:pPr>
      <w:bookmarkStart w:id="0" w:name="_GoBack"/>
      <w:bookmarkEnd w:id="0"/>
    </w:p>
    <w:sectPr w:rsidR="004311F6" w:rsidRPr="00A62496" w:rsidSect="00463E4C">
      <w:pgSz w:w="15840" w:h="12240" w:orient="landscape"/>
      <w:pgMar w:top="1701" w:right="1417" w:bottom="1701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1E1F" w:rsidRDefault="00181E1F" w:rsidP="00E80D2A">
      <w:pPr>
        <w:spacing w:after="0" w:line="240" w:lineRule="auto"/>
      </w:pPr>
      <w:r>
        <w:separator/>
      </w:r>
    </w:p>
  </w:endnote>
  <w:endnote w:type="continuationSeparator" w:id="1">
    <w:p w:rsidR="00181E1F" w:rsidRDefault="00181E1F" w:rsidP="00E80D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  <w:r w:rsidRPr="009D29F4">
      <w:rPr>
        <w:sz w:val="16"/>
        <w:szCs w:val="16"/>
        <w:lang w:val="es-DO"/>
      </w:rPr>
      <w:t>Viceministerio Comercio Interno</w:t>
    </w: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Pr="009D29F4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  <w:r w:rsidRPr="009D29F4">
      <w:rPr>
        <w:sz w:val="16"/>
        <w:szCs w:val="16"/>
        <w:lang w:val="es-DO"/>
      </w:rPr>
      <w:t>Fuente: Estadísticas D</w:t>
    </w:r>
    <w:r>
      <w:rPr>
        <w:sz w:val="16"/>
        <w:szCs w:val="16"/>
        <w:lang w:val="es-DO"/>
      </w:rPr>
      <w:t>GA</w:t>
    </w: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Default="003C415B">
    <w:pPr>
      <w:pStyle w:val="Piedepgina"/>
      <w:rPr>
        <w:sz w:val="16"/>
        <w:szCs w:val="16"/>
        <w:lang w:val="es-DO"/>
      </w:rPr>
    </w:pPr>
  </w:p>
  <w:p w:rsidR="003C415B" w:rsidRPr="009D29F4" w:rsidRDefault="003C415B">
    <w:pPr>
      <w:pStyle w:val="Piedepgina"/>
      <w:rPr>
        <w:sz w:val="16"/>
        <w:szCs w:val="16"/>
        <w:lang w:val="es-DO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1E1F" w:rsidRDefault="00181E1F" w:rsidP="00E80D2A">
      <w:pPr>
        <w:spacing w:after="0" w:line="240" w:lineRule="auto"/>
      </w:pPr>
      <w:r>
        <w:separator/>
      </w:r>
    </w:p>
  </w:footnote>
  <w:footnote w:type="continuationSeparator" w:id="1">
    <w:p w:rsidR="00181E1F" w:rsidRDefault="00181E1F" w:rsidP="00E80D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B3EA8"/>
    <w:multiLevelType w:val="multilevel"/>
    <w:tmpl w:val="F642C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97E1F5F"/>
    <w:multiLevelType w:val="hybridMultilevel"/>
    <w:tmpl w:val="827EBCB4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34A71"/>
    <w:rsid w:val="00003BFB"/>
    <w:rsid w:val="00003F5F"/>
    <w:rsid w:val="00006F01"/>
    <w:rsid w:val="0000755D"/>
    <w:rsid w:val="00017603"/>
    <w:rsid w:val="00021B8E"/>
    <w:rsid w:val="00034E73"/>
    <w:rsid w:val="00037421"/>
    <w:rsid w:val="00037846"/>
    <w:rsid w:val="000379FA"/>
    <w:rsid w:val="00041785"/>
    <w:rsid w:val="0004239A"/>
    <w:rsid w:val="000517DF"/>
    <w:rsid w:val="000615D4"/>
    <w:rsid w:val="0006219C"/>
    <w:rsid w:val="00065CD3"/>
    <w:rsid w:val="00072051"/>
    <w:rsid w:val="00076B4C"/>
    <w:rsid w:val="0009392B"/>
    <w:rsid w:val="000A681C"/>
    <w:rsid w:val="000B08C2"/>
    <w:rsid w:val="000B1900"/>
    <w:rsid w:val="000B1C3D"/>
    <w:rsid w:val="000B3BEA"/>
    <w:rsid w:val="000B426B"/>
    <w:rsid w:val="000B4CCE"/>
    <w:rsid w:val="000B4E72"/>
    <w:rsid w:val="000C4D78"/>
    <w:rsid w:val="000D0012"/>
    <w:rsid w:val="000E4FC8"/>
    <w:rsid w:val="000F2FBE"/>
    <w:rsid w:val="000F4CD2"/>
    <w:rsid w:val="000F5917"/>
    <w:rsid w:val="00111F32"/>
    <w:rsid w:val="00112CDA"/>
    <w:rsid w:val="00126694"/>
    <w:rsid w:val="0013125E"/>
    <w:rsid w:val="001365C5"/>
    <w:rsid w:val="001421C8"/>
    <w:rsid w:val="0017192C"/>
    <w:rsid w:val="00181E1F"/>
    <w:rsid w:val="00191D9A"/>
    <w:rsid w:val="001922EE"/>
    <w:rsid w:val="00192F3E"/>
    <w:rsid w:val="00193D1C"/>
    <w:rsid w:val="0019453E"/>
    <w:rsid w:val="001A3529"/>
    <w:rsid w:val="001A4EC1"/>
    <w:rsid w:val="001A5CCD"/>
    <w:rsid w:val="001B595C"/>
    <w:rsid w:val="001C014F"/>
    <w:rsid w:val="001C10CB"/>
    <w:rsid w:val="001C5CBB"/>
    <w:rsid w:val="001C7B91"/>
    <w:rsid w:val="001D4D55"/>
    <w:rsid w:val="001E2E88"/>
    <w:rsid w:val="001F7BF6"/>
    <w:rsid w:val="00200471"/>
    <w:rsid w:val="00207F18"/>
    <w:rsid w:val="00212CB3"/>
    <w:rsid w:val="00222902"/>
    <w:rsid w:val="00234384"/>
    <w:rsid w:val="0023771F"/>
    <w:rsid w:val="0024388A"/>
    <w:rsid w:val="002462F6"/>
    <w:rsid w:val="0025087D"/>
    <w:rsid w:val="00255549"/>
    <w:rsid w:val="002641BE"/>
    <w:rsid w:val="002747DC"/>
    <w:rsid w:val="00274B47"/>
    <w:rsid w:val="002877FB"/>
    <w:rsid w:val="002904B9"/>
    <w:rsid w:val="002A158E"/>
    <w:rsid w:val="002A227D"/>
    <w:rsid w:val="002B295B"/>
    <w:rsid w:val="002B6268"/>
    <w:rsid w:val="002C3AEA"/>
    <w:rsid w:val="002C7F9E"/>
    <w:rsid w:val="002D5F46"/>
    <w:rsid w:val="002E16E1"/>
    <w:rsid w:val="002E1D58"/>
    <w:rsid w:val="002E68DF"/>
    <w:rsid w:val="00312189"/>
    <w:rsid w:val="0031730C"/>
    <w:rsid w:val="00317768"/>
    <w:rsid w:val="00317F62"/>
    <w:rsid w:val="003379EB"/>
    <w:rsid w:val="00337F64"/>
    <w:rsid w:val="00347B5E"/>
    <w:rsid w:val="00347DFD"/>
    <w:rsid w:val="003548EB"/>
    <w:rsid w:val="00360E5A"/>
    <w:rsid w:val="00361400"/>
    <w:rsid w:val="0036632F"/>
    <w:rsid w:val="00372BCC"/>
    <w:rsid w:val="00373E03"/>
    <w:rsid w:val="00375018"/>
    <w:rsid w:val="0037793E"/>
    <w:rsid w:val="00383B9A"/>
    <w:rsid w:val="00397E06"/>
    <w:rsid w:val="003A0723"/>
    <w:rsid w:val="003A22A4"/>
    <w:rsid w:val="003B0B96"/>
    <w:rsid w:val="003B3DDD"/>
    <w:rsid w:val="003B78F9"/>
    <w:rsid w:val="003C415B"/>
    <w:rsid w:val="003D1B99"/>
    <w:rsid w:val="003D3725"/>
    <w:rsid w:val="003D3EA0"/>
    <w:rsid w:val="003E1585"/>
    <w:rsid w:val="003F4595"/>
    <w:rsid w:val="003F68B3"/>
    <w:rsid w:val="003F7DCB"/>
    <w:rsid w:val="00406DDA"/>
    <w:rsid w:val="00410143"/>
    <w:rsid w:val="0041350F"/>
    <w:rsid w:val="00415489"/>
    <w:rsid w:val="00416C01"/>
    <w:rsid w:val="004276A6"/>
    <w:rsid w:val="004311F6"/>
    <w:rsid w:val="00437003"/>
    <w:rsid w:val="00445CC6"/>
    <w:rsid w:val="00450FF1"/>
    <w:rsid w:val="00463E4C"/>
    <w:rsid w:val="00471249"/>
    <w:rsid w:val="00475CF3"/>
    <w:rsid w:val="00477D2A"/>
    <w:rsid w:val="00495B64"/>
    <w:rsid w:val="004A45AE"/>
    <w:rsid w:val="004A7980"/>
    <w:rsid w:val="004B4747"/>
    <w:rsid w:val="004B53A5"/>
    <w:rsid w:val="004B7DDF"/>
    <w:rsid w:val="004C64FA"/>
    <w:rsid w:val="004D2EA0"/>
    <w:rsid w:val="004D3250"/>
    <w:rsid w:val="004E674C"/>
    <w:rsid w:val="004E6E86"/>
    <w:rsid w:val="004E726D"/>
    <w:rsid w:val="004E732E"/>
    <w:rsid w:val="004E75B2"/>
    <w:rsid w:val="004F0164"/>
    <w:rsid w:val="004F3079"/>
    <w:rsid w:val="0050411C"/>
    <w:rsid w:val="005124A1"/>
    <w:rsid w:val="0051319A"/>
    <w:rsid w:val="00513C30"/>
    <w:rsid w:val="00516BB0"/>
    <w:rsid w:val="0053554E"/>
    <w:rsid w:val="0053692E"/>
    <w:rsid w:val="00537AB9"/>
    <w:rsid w:val="00540153"/>
    <w:rsid w:val="00543BDB"/>
    <w:rsid w:val="00546F02"/>
    <w:rsid w:val="005549FA"/>
    <w:rsid w:val="0055510D"/>
    <w:rsid w:val="00560E90"/>
    <w:rsid w:val="00563135"/>
    <w:rsid w:val="00566EDB"/>
    <w:rsid w:val="00596EDF"/>
    <w:rsid w:val="005A148E"/>
    <w:rsid w:val="005A1C08"/>
    <w:rsid w:val="005A5BB0"/>
    <w:rsid w:val="005A6BD9"/>
    <w:rsid w:val="005A6C0B"/>
    <w:rsid w:val="005B16BE"/>
    <w:rsid w:val="005B73F0"/>
    <w:rsid w:val="005C636C"/>
    <w:rsid w:val="005D18DB"/>
    <w:rsid w:val="005E240B"/>
    <w:rsid w:val="005E6316"/>
    <w:rsid w:val="005E69D7"/>
    <w:rsid w:val="005F2FB1"/>
    <w:rsid w:val="005F6C3B"/>
    <w:rsid w:val="005F7A69"/>
    <w:rsid w:val="00601855"/>
    <w:rsid w:val="00601DB3"/>
    <w:rsid w:val="00602C68"/>
    <w:rsid w:val="00602D88"/>
    <w:rsid w:val="00615E90"/>
    <w:rsid w:val="0061776B"/>
    <w:rsid w:val="00624FE1"/>
    <w:rsid w:val="0062739B"/>
    <w:rsid w:val="00630191"/>
    <w:rsid w:val="00647F02"/>
    <w:rsid w:val="00655EFE"/>
    <w:rsid w:val="00655FA7"/>
    <w:rsid w:val="00675176"/>
    <w:rsid w:val="00676826"/>
    <w:rsid w:val="006822E4"/>
    <w:rsid w:val="006836C4"/>
    <w:rsid w:val="00684C9D"/>
    <w:rsid w:val="00685212"/>
    <w:rsid w:val="00685E9D"/>
    <w:rsid w:val="006A02A0"/>
    <w:rsid w:val="006A1DEB"/>
    <w:rsid w:val="006A3A71"/>
    <w:rsid w:val="006B21A4"/>
    <w:rsid w:val="006B25E6"/>
    <w:rsid w:val="006B3E9F"/>
    <w:rsid w:val="006D2A9E"/>
    <w:rsid w:val="006D78C0"/>
    <w:rsid w:val="006E3FEE"/>
    <w:rsid w:val="006E577E"/>
    <w:rsid w:val="006E7FCD"/>
    <w:rsid w:val="006F74B0"/>
    <w:rsid w:val="00704E2E"/>
    <w:rsid w:val="00705851"/>
    <w:rsid w:val="007170D5"/>
    <w:rsid w:val="007223A9"/>
    <w:rsid w:val="00731FDE"/>
    <w:rsid w:val="00732A28"/>
    <w:rsid w:val="00733D5E"/>
    <w:rsid w:val="00741BE7"/>
    <w:rsid w:val="00756E3A"/>
    <w:rsid w:val="00760665"/>
    <w:rsid w:val="00762878"/>
    <w:rsid w:val="0077007F"/>
    <w:rsid w:val="007723C0"/>
    <w:rsid w:val="007811DF"/>
    <w:rsid w:val="00784536"/>
    <w:rsid w:val="00795134"/>
    <w:rsid w:val="00795445"/>
    <w:rsid w:val="00795792"/>
    <w:rsid w:val="00796154"/>
    <w:rsid w:val="00797A92"/>
    <w:rsid w:val="007A1856"/>
    <w:rsid w:val="007A7B9E"/>
    <w:rsid w:val="007B4D36"/>
    <w:rsid w:val="007C4162"/>
    <w:rsid w:val="007E1602"/>
    <w:rsid w:val="007E6E59"/>
    <w:rsid w:val="007E7EE7"/>
    <w:rsid w:val="007F3AC6"/>
    <w:rsid w:val="007F535B"/>
    <w:rsid w:val="007F7238"/>
    <w:rsid w:val="008025AE"/>
    <w:rsid w:val="0081270B"/>
    <w:rsid w:val="0081304E"/>
    <w:rsid w:val="00814C21"/>
    <w:rsid w:val="008214C9"/>
    <w:rsid w:val="008253EF"/>
    <w:rsid w:val="008305B8"/>
    <w:rsid w:val="00830AC3"/>
    <w:rsid w:val="00843E46"/>
    <w:rsid w:val="00844F77"/>
    <w:rsid w:val="008466A2"/>
    <w:rsid w:val="008502A6"/>
    <w:rsid w:val="008579E4"/>
    <w:rsid w:val="00860EA3"/>
    <w:rsid w:val="00877F36"/>
    <w:rsid w:val="00880219"/>
    <w:rsid w:val="008937C4"/>
    <w:rsid w:val="00893E25"/>
    <w:rsid w:val="00895DC9"/>
    <w:rsid w:val="008A1559"/>
    <w:rsid w:val="008A3A75"/>
    <w:rsid w:val="008A57C4"/>
    <w:rsid w:val="008B2E29"/>
    <w:rsid w:val="008C35AB"/>
    <w:rsid w:val="008D707B"/>
    <w:rsid w:val="008E1191"/>
    <w:rsid w:val="008E36C1"/>
    <w:rsid w:val="008E51A8"/>
    <w:rsid w:val="008F078D"/>
    <w:rsid w:val="008F5851"/>
    <w:rsid w:val="00913DA3"/>
    <w:rsid w:val="00913FA4"/>
    <w:rsid w:val="0091555F"/>
    <w:rsid w:val="00924D8B"/>
    <w:rsid w:val="00930243"/>
    <w:rsid w:val="00931299"/>
    <w:rsid w:val="00935B81"/>
    <w:rsid w:val="00946AD3"/>
    <w:rsid w:val="00951F39"/>
    <w:rsid w:val="00954098"/>
    <w:rsid w:val="00964162"/>
    <w:rsid w:val="00965AF9"/>
    <w:rsid w:val="0097628B"/>
    <w:rsid w:val="00981374"/>
    <w:rsid w:val="009A1FC0"/>
    <w:rsid w:val="009B2DC2"/>
    <w:rsid w:val="009B51CB"/>
    <w:rsid w:val="009B7E0E"/>
    <w:rsid w:val="009C169C"/>
    <w:rsid w:val="009C6B2C"/>
    <w:rsid w:val="009D29F4"/>
    <w:rsid w:val="009D2A79"/>
    <w:rsid w:val="009E6A76"/>
    <w:rsid w:val="009F77DB"/>
    <w:rsid w:val="00A017EE"/>
    <w:rsid w:val="00A06AB7"/>
    <w:rsid w:val="00A07515"/>
    <w:rsid w:val="00A14777"/>
    <w:rsid w:val="00A22582"/>
    <w:rsid w:val="00A31165"/>
    <w:rsid w:val="00A56F00"/>
    <w:rsid w:val="00A60E3D"/>
    <w:rsid w:val="00A62496"/>
    <w:rsid w:val="00A66066"/>
    <w:rsid w:val="00A71200"/>
    <w:rsid w:val="00A73416"/>
    <w:rsid w:val="00A92EF3"/>
    <w:rsid w:val="00A96B30"/>
    <w:rsid w:val="00AA0C22"/>
    <w:rsid w:val="00AA5503"/>
    <w:rsid w:val="00AA6A40"/>
    <w:rsid w:val="00AA6D8C"/>
    <w:rsid w:val="00AB36DF"/>
    <w:rsid w:val="00AB55B5"/>
    <w:rsid w:val="00AB7DE6"/>
    <w:rsid w:val="00AC4258"/>
    <w:rsid w:val="00AC72C6"/>
    <w:rsid w:val="00AC7510"/>
    <w:rsid w:val="00AD4B46"/>
    <w:rsid w:val="00AD5865"/>
    <w:rsid w:val="00AE403F"/>
    <w:rsid w:val="00AE7D2F"/>
    <w:rsid w:val="00AF1EFB"/>
    <w:rsid w:val="00B011D5"/>
    <w:rsid w:val="00B037BD"/>
    <w:rsid w:val="00B049F1"/>
    <w:rsid w:val="00B10FC4"/>
    <w:rsid w:val="00B12148"/>
    <w:rsid w:val="00B15F49"/>
    <w:rsid w:val="00B214CA"/>
    <w:rsid w:val="00B23FE1"/>
    <w:rsid w:val="00B33E4D"/>
    <w:rsid w:val="00B51EDF"/>
    <w:rsid w:val="00B531CD"/>
    <w:rsid w:val="00B5329B"/>
    <w:rsid w:val="00B5350D"/>
    <w:rsid w:val="00B6188F"/>
    <w:rsid w:val="00B619BA"/>
    <w:rsid w:val="00B7640D"/>
    <w:rsid w:val="00B7680A"/>
    <w:rsid w:val="00B81361"/>
    <w:rsid w:val="00B952B9"/>
    <w:rsid w:val="00BA7262"/>
    <w:rsid w:val="00BB5109"/>
    <w:rsid w:val="00BB7F63"/>
    <w:rsid w:val="00BC055B"/>
    <w:rsid w:val="00BC0FDF"/>
    <w:rsid w:val="00BD1EA6"/>
    <w:rsid w:val="00BD4B08"/>
    <w:rsid w:val="00BE2AE7"/>
    <w:rsid w:val="00BE33E2"/>
    <w:rsid w:val="00BE66DC"/>
    <w:rsid w:val="00BE7CFF"/>
    <w:rsid w:val="00BF003C"/>
    <w:rsid w:val="00BF31A2"/>
    <w:rsid w:val="00BF49C1"/>
    <w:rsid w:val="00C07402"/>
    <w:rsid w:val="00C13E23"/>
    <w:rsid w:val="00C20043"/>
    <w:rsid w:val="00C443A4"/>
    <w:rsid w:val="00C55053"/>
    <w:rsid w:val="00C64E8A"/>
    <w:rsid w:val="00C71C5D"/>
    <w:rsid w:val="00C72675"/>
    <w:rsid w:val="00C739FB"/>
    <w:rsid w:val="00C83874"/>
    <w:rsid w:val="00C841DC"/>
    <w:rsid w:val="00C94FBB"/>
    <w:rsid w:val="00CA3523"/>
    <w:rsid w:val="00CA507B"/>
    <w:rsid w:val="00CA60E6"/>
    <w:rsid w:val="00CB41C1"/>
    <w:rsid w:val="00CD0F9A"/>
    <w:rsid w:val="00CD108B"/>
    <w:rsid w:val="00CD2B71"/>
    <w:rsid w:val="00CE5BAA"/>
    <w:rsid w:val="00CE657D"/>
    <w:rsid w:val="00CF4509"/>
    <w:rsid w:val="00D047EC"/>
    <w:rsid w:val="00D05C99"/>
    <w:rsid w:val="00D10F47"/>
    <w:rsid w:val="00D10F78"/>
    <w:rsid w:val="00D15EDD"/>
    <w:rsid w:val="00D270E3"/>
    <w:rsid w:val="00D30209"/>
    <w:rsid w:val="00D316B2"/>
    <w:rsid w:val="00D34969"/>
    <w:rsid w:val="00D34EC5"/>
    <w:rsid w:val="00D404D4"/>
    <w:rsid w:val="00D43FA7"/>
    <w:rsid w:val="00D45DBA"/>
    <w:rsid w:val="00D5791A"/>
    <w:rsid w:val="00D60540"/>
    <w:rsid w:val="00D62ED6"/>
    <w:rsid w:val="00D7040F"/>
    <w:rsid w:val="00D74050"/>
    <w:rsid w:val="00D81B7F"/>
    <w:rsid w:val="00D8606E"/>
    <w:rsid w:val="00D96188"/>
    <w:rsid w:val="00DA5D32"/>
    <w:rsid w:val="00DA76D1"/>
    <w:rsid w:val="00DB17C6"/>
    <w:rsid w:val="00DB2FA9"/>
    <w:rsid w:val="00DB3357"/>
    <w:rsid w:val="00DB49ED"/>
    <w:rsid w:val="00DD2D9C"/>
    <w:rsid w:val="00DE1DB6"/>
    <w:rsid w:val="00DF2988"/>
    <w:rsid w:val="00DF7CA3"/>
    <w:rsid w:val="00E032D5"/>
    <w:rsid w:val="00E03939"/>
    <w:rsid w:val="00E0403D"/>
    <w:rsid w:val="00E04224"/>
    <w:rsid w:val="00E16642"/>
    <w:rsid w:val="00E17374"/>
    <w:rsid w:val="00E30F5F"/>
    <w:rsid w:val="00E3318E"/>
    <w:rsid w:val="00E34A71"/>
    <w:rsid w:val="00E37403"/>
    <w:rsid w:val="00E40AF3"/>
    <w:rsid w:val="00E43194"/>
    <w:rsid w:val="00E43D66"/>
    <w:rsid w:val="00E51AE6"/>
    <w:rsid w:val="00E544DE"/>
    <w:rsid w:val="00E556C2"/>
    <w:rsid w:val="00E602C5"/>
    <w:rsid w:val="00E64D1A"/>
    <w:rsid w:val="00E6776C"/>
    <w:rsid w:val="00E752F4"/>
    <w:rsid w:val="00E80D2A"/>
    <w:rsid w:val="00E839E6"/>
    <w:rsid w:val="00E9118B"/>
    <w:rsid w:val="00E963AF"/>
    <w:rsid w:val="00E965E0"/>
    <w:rsid w:val="00EB2DED"/>
    <w:rsid w:val="00EB339F"/>
    <w:rsid w:val="00EC57BF"/>
    <w:rsid w:val="00ED1DCA"/>
    <w:rsid w:val="00EE5A8A"/>
    <w:rsid w:val="00EE7E5A"/>
    <w:rsid w:val="00EF2339"/>
    <w:rsid w:val="00EF4F55"/>
    <w:rsid w:val="00EF68F5"/>
    <w:rsid w:val="00EF733E"/>
    <w:rsid w:val="00EF792D"/>
    <w:rsid w:val="00F05396"/>
    <w:rsid w:val="00F139E6"/>
    <w:rsid w:val="00F160CA"/>
    <w:rsid w:val="00F21298"/>
    <w:rsid w:val="00F22187"/>
    <w:rsid w:val="00F22C3B"/>
    <w:rsid w:val="00F37AAF"/>
    <w:rsid w:val="00F42825"/>
    <w:rsid w:val="00F5013D"/>
    <w:rsid w:val="00F64722"/>
    <w:rsid w:val="00F72F37"/>
    <w:rsid w:val="00F7602C"/>
    <w:rsid w:val="00F97530"/>
    <w:rsid w:val="00FA38EF"/>
    <w:rsid w:val="00FA7C94"/>
    <w:rsid w:val="00FB0549"/>
    <w:rsid w:val="00FB4162"/>
    <w:rsid w:val="00FC2DE9"/>
    <w:rsid w:val="00FC6E45"/>
    <w:rsid w:val="00FE4924"/>
    <w:rsid w:val="00FF31E2"/>
    <w:rsid w:val="00FF3977"/>
    <w:rsid w:val="00FF5920"/>
    <w:rsid w:val="00FF6D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5E9D"/>
  </w:style>
  <w:style w:type="paragraph" w:styleId="Ttulo3">
    <w:name w:val="heading 3"/>
    <w:basedOn w:val="Normal"/>
    <w:link w:val="Ttulo3Car"/>
    <w:uiPriority w:val="9"/>
    <w:qFormat/>
    <w:rsid w:val="00192F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1270B"/>
    <w:pPr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character" w:styleId="Textoennegrita">
    <w:name w:val="Strong"/>
    <w:basedOn w:val="Fuentedeprrafopredeter"/>
    <w:uiPriority w:val="22"/>
    <w:qFormat/>
    <w:rsid w:val="0081270B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12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1270B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B5350D"/>
    <w:rPr>
      <w:strike w:val="0"/>
      <w:dstrike w:val="0"/>
      <w:color w:val="1D95CB"/>
      <w:u w:val="none"/>
      <w:effect w:val="none"/>
    </w:rPr>
  </w:style>
  <w:style w:type="character" w:customStyle="1" w:styleId="Ttulo3Car">
    <w:name w:val="Título 3 Car"/>
    <w:basedOn w:val="Fuentedeprrafopredeter"/>
    <w:link w:val="Ttulo3"/>
    <w:uiPriority w:val="9"/>
    <w:rsid w:val="00192F3E"/>
    <w:rPr>
      <w:rFonts w:ascii="Times New Roman" w:eastAsia="Times New Roman" w:hAnsi="Times New Roman" w:cs="Times New Roman"/>
      <w:b/>
      <w:bCs/>
      <w:sz w:val="27"/>
      <w:szCs w:val="27"/>
      <w:lang w:eastAsia="es-DO"/>
    </w:rPr>
  </w:style>
  <w:style w:type="paragraph" w:styleId="Prrafodelista">
    <w:name w:val="List Paragraph"/>
    <w:basedOn w:val="Normal"/>
    <w:uiPriority w:val="34"/>
    <w:qFormat/>
    <w:rsid w:val="00AA6A40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3A22A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A22A4"/>
    <w:pPr>
      <w:spacing w:line="240" w:lineRule="auto"/>
    </w:pPr>
    <w:rPr>
      <w:sz w:val="24"/>
      <w:szCs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3A22A4"/>
    <w:rPr>
      <w:sz w:val="24"/>
      <w:szCs w:val="24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A22A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A22A4"/>
    <w:rPr>
      <w:b/>
      <w:bCs/>
      <w:sz w:val="20"/>
      <w:szCs w:val="20"/>
    </w:rPr>
  </w:style>
  <w:style w:type="paragraph" w:styleId="Encabezado">
    <w:name w:val="header"/>
    <w:basedOn w:val="Normal"/>
    <w:link w:val="EncabezadoCar"/>
    <w:uiPriority w:val="99"/>
    <w:rsid w:val="008579E4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579E4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80D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80D2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192F3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D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1270B"/>
    <w:pPr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character" w:styleId="Strong">
    <w:name w:val="Strong"/>
    <w:basedOn w:val="DefaultParagraphFont"/>
    <w:uiPriority w:val="22"/>
    <w:qFormat/>
    <w:rsid w:val="0081270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2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270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B5350D"/>
    <w:rPr>
      <w:strike w:val="0"/>
      <w:dstrike w:val="0"/>
      <w:color w:val="1D95CB"/>
      <w:u w:val="none"/>
      <w:effect w:val="none"/>
    </w:rPr>
  </w:style>
  <w:style w:type="character" w:customStyle="1" w:styleId="Heading3Char">
    <w:name w:val="Heading 3 Char"/>
    <w:basedOn w:val="DefaultParagraphFont"/>
    <w:link w:val="Heading3"/>
    <w:uiPriority w:val="9"/>
    <w:rsid w:val="00192F3E"/>
    <w:rPr>
      <w:rFonts w:ascii="Times New Roman" w:eastAsia="Times New Roman" w:hAnsi="Times New Roman" w:cs="Times New Roman"/>
      <w:b/>
      <w:bCs/>
      <w:sz w:val="27"/>
      <w:szCs w:val="27"/>
      <w:lang w:eastAsia="es-DO"/>
    </w:rPr>
  </w:style>
  <w:style w:type="paragraph" w:styleId="ListParagraph">
    <w:name w:val="List Paragraph"/>
    <w:basedOn w:val="Normal"/>
    <w:uiPriority w:val="34"/>
    <w:qFormat/>
    <w:rsid w:val="00AA6A4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3A22A4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22A4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22A4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22A4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22A4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rsid w:val="008579E4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HeaderChar">
    <w:name w:val="Header Char"/>
    <w:basedOn w:val="DefaultParagraphFont"/>
    <w:link w:val="Header"/>
    <w:uiPriority w:val="99"/>
    <w:rsid w:val="008579E4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Footer">
    <w:name w:val="footer"/>
    <w:basedOn w:val="Normal"/>
    <w:link w:val="FooterChar"/>
    <w:uiPriority w:val="99"/>
    <w:unhideWhenUsed/>
    <w:rsid w:val="00E80D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0D2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29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39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41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459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8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8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1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88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4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01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150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35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785124">
                              <w:marLeft w:val="0"/>
                              <w:marRight w:val="30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1177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055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32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chart" Target="charts/chart4.xml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chart" Target="charts/chart3.xm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cid:image004.jpg@01CB4FFC.F9C1ED60" TargetMode="External"/><Relationship Id="rId14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Hoja_de_c_lculo_de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s-DO"/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v>GRAICO No.1 Distribucion de importaciones segun clasificacion arancelaria. Importaciones Julio 2015 (Valores en US$ FOB)</c:v>
          </c:tx>
          <c:dPt>
            <c:idx val="9"/>
            <c:explosion val="10"/>
          </c:dPt>
          <c:dPt>
            <c:idx val="14"/>
            <c:explosion val="18"/>
          </c:dPt>
          <c:dPt>
            <c:idx val="16"/>
            <c:explosion val="13"/>
          </c:dPt>
          <c:dLbls>
            <c:showVal val="1"/>
            <c:showLeaderLines val="1"/>
          </c:dLbls>
          <c:cat>
            <c:strRef>
              <c:f>'Grafica DATA'!$A$1:$A$24</c:f>
              <c:strCache>
                <c:ptCount val="24"/>
                <c:pt idx="0">
                  <c:v>Capitulo 1. Animales vivos</c:v>
                </c:pt>
                <c:pt idx="1">
                  <c:v>Capitulo 2. Carne y despojos comestibles</c:v>
                </c:pt>
                <c:pt idx="2">
                  <c:v>Capitulo 3. Pescados y crustaceos</c:v>
                </c:pt>
                <c:pt idx="3">
                  <c:v>Capitulo 4. Leche y Productos Lacteos</c:v>
                </c:pt>
                <c:pt idx="4">
                  <c:v>Capitulo 5. Los demas productos de origen animal</c:v>
                </c:pt>
                <c:pt idx="5">
                  <c:v>Capitulo 6. Plantas vivas y productos</c:v>
                </c:pt>
                <c:pt idx="6">
                  <c:v>Capitulo 7. Hortalizas, Plantas, Raices y Tuberculos</c:v>
                </c:pt>
                <c:pt idx="7">
                  <c:v>Capitulo 8. Frutos Comestibles</c:v>
                </c:pt>
                <c:pt idx="8">
                  <c:v>Capitulo 9. Café, Te, Yerba Mate y Especias</c:v>
                </c:pt>
                <c:pt idx="9">
                  <c:v>Capitulo 10. Cereales</c:v>
                </c:pt>
                <c:pt idx="10">
                  <c:v>Capitulo 11. Productos de Molineria</c:v>
                </c:pt>
                <c:pt idx="11">
                  <c:v>Capitulo 12. Semillas y Productos Oleaginosos</c:v>
                </c:pt>
                <c:pt idx="12">
                  <c:v>Capitulo 13. Gomas, Resinas y demas Jugos y extractos vegetales</c:v>
                </c:pt>
                <c:pt idx="13">
                  <c:v>Capitulo 14. Materias Primas Trenzables</c:v>
                </c:pt>
                <c:pt idx="14">
                  <c:v>Capitulo 15. Grasas y aceites de origen animal o vegetal</c:v>
                </c:pt>
                <c:pt idx="15">
                  <c:v>Capitulo 16. Preparaciones de carnes, pescados o crustaceos</c:v>
                </c:pt>
                <c:pt idx="16">
                  <c:v>Capitulo 17. Azucares y articulos de confiteria</c:v>
                </c:pt>
                <c:pt idx="17">
                  <c:v>Capitulo 18. Cacao y sus preparaciones</c:v>
                </c:pt>
                <c:pt idx="18">
                  <c:v>Capitulo 19. Preparacion a base de cereales, Productos de pasteleria</c:v>
                </c:pt>
                <c:pt idx="19">
                  <c:v>Capitulo 20. Preparaciones de hortalizas, frutas y demas partes de plantas</c:v>
                </c:pt>
                <c:pt idx="20">
                  <c:v>Capitulo 21. Preparaciones alimenticias diversas</c:v>
                </c:pt>
                <c:pt idx="21">
                  <c:v>Capitulo 22. Bebidad, Liquidos Alcoholicas y Vinagres</c:v>
                </c:pt>
                <c:pt idx="22">
                  <c:v>Capitulo 23. Reciduos y desperdicios de la industria alimentaria</c:v>
                </c:pt>
                <c:pt idx="23">
                  <c:v>Capitulo 24. Tabaco y sucedaneos</c:v>
                </c:pt>
              </c:strCache>
            </c:strRef>
          </c:cat>
          <c:val>
            <c:numRef>
              <c:f>'Grafica DATA'!$B$1:$B$24</c:f>
              <c:numCache>
                <c:formatCode>_(* #,##0.00_);_(* \(#,##0.00\);_(* "-"??_);_(@_)</c:formatCode>
                <c:ptCount val="24"/>
                <c:pt idx="0">
                  <c:v>278559</c:v>
                </c:pt>
                <c:pt idx="1">
                  <c:v>13824543.382328995</c:v>
                </c:pt>
                <c:pt idx="2">
                  <c:v>9363943.4205249958</c:v>
                </c:pt>
                <c:pt idx="3">
                  <c:v>11402721.138687991</c:v>
                </c:pt>
                <c:pt idx="4">
                  <c:v>27046.528200000001</c:v>
                </c:pt>
                <c:pt idx="5">
                  <c:v>828243.22892000049</c:v>
                </c:pt>
                <c:pt idx="6">
                  <c:v>6134189.7564610029</c:v>
                </c:pt>
                <c:pt idx="7">
                  <c:v>2290632.7864860022</c:v>
                </c:pt>
                <c:pt idx="8">
                  <c:v>9472958.1022660062</c:v>
                </c:pt>
                <c:pt idx="9">
                  <c:v>27611840.519973002</c:v>
                </c:pt>
                <c:pt idx="10">
                  <c:v>1164431.3403470004</c:v>
                </c:pt>
                <c:pt idx="11">
                  <c:v>11770210.039723011</c:v>
                </c:pt>
                <c:pt idx="12">
                  <c:v>671008.50595100014</c:v>
                </c:pt>
                <c:pt idx="13">
                  <c:v>1046.9749879999999</c:v>
                </c:pt>
                <c:pt idx="14">
                  <c:v>18328522.263960991</c:v>
                </c:pt>
                <c:pt idx="15">
                  <c:v>4442963.1337600015</c:v>
                </c:pt>
                <c:pt idx="16">
                  <c:v>15946098.156579986</c:v>
                </c:pt>
                <c:pt idx="17">
                  <c:v>1317917.5633859998</c:v>
                </c:pt>
                <c:pt idx="18">
                  <c:v>15080262.047125986</c:v>
                </c:pt>
                <c:pt idx="19">
                  <c:v>8912905.1461800039</c:v>
                </c:pt>
                <c:pt idx="20">
                  <c:v>14338492.31658298</c:v>
                </c:pt>
                <c:pt idx="21">
                  <c:v>10059145.056275992</c:v>
                </c:pt>
                <c:pt idx="22">
                  <c:v>11625460.184624994</c:v>
                </c:pt>
                <c:pt idx="23">
                  <c:v>586595.64080000005</c:v>
                </c:pt>
              </c:numCache>
            </c:numRef>
          </c:val>
        </c:ser>
      </c:pie3DChart>
    </c:plotArea>
    <c:legend>
      <c:legendPos val="r"/>
      <c:layout>
        <c:manualLayout>
          <c:xMode val="edge"/>
          <c:yMode val="edge"/>
          <c:x val="0.63897131279642694"/>
          <c:y val="1.9509647908184709E-2"/>
          <c:w val="0.33969539991711573"/>
          <c:h val="0.95858198827508767"/>
        </c:manualLayout>
      </c:layout>
      <c:txPr>
        <a:bodyPr/>
        <a:lstStyle/>
        <a:p>
          <a:pPr>
            <a:defRPr sz="700"/>
          </a:pPr>
          <a:endParaRPr lang="es-DO"/>
        </a:p>
      </c:txPr>
    </c:legend>
    <c:plotVisOnly val="1"/>
    <c:dispBlanksAs val="zero"/>
  </c:chart>
  <c:spPr>
    <a:ln w="25400"/>
  </c:sp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DO"/>
  <c:chart>
    <c:autoTitleDeleted val="1"/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Importaciones por Pais.</c:v>
          </c:tx>
          <c:cat>
            <c:strRef>
              <c:f>'Grafica por Pais'!$A$1:$BW$1</c:f>
              <c:strCache>
                <c:ptCount val="75"/>
                <c:pt idx="0">
                  <c:v>ALBANIA</c:v>
                </c:pt>
                <c:pt idx="1">
                  <c:v>ALEMANIA</c:v>
                </c:pt>
                <c:pt idx="2">
                  <c:v>ANTILLAS NEERLANDESAS</c:v>
                </c:pt>
                <c:pt idx="3">
                  <c:v>ARABIA SAUDITA</c:v>
                </c:pt>
                <c:pt idx="4">
                  <c:v>ARGENTINA</c:v>
                </c:pt>
                <c:pt idx="5">
                  <c:v>AUSTRALIA</c:v>
                </c:pt>
                <c:pt idx="6">
                  <c:v>AUSTRIA</c:v>
                </c:pt>
                <c:pt idx="7">
                  <c:v>BELGICA</c:v>
                </c:pt>
                <c:pt idx="8">
                  <c:v>BOLIVIA</c:v>
                </c:pt>
                <c:pt idx="9">
                  <c:v>BRASIL</c:v>
                </c:pt>
                <c:pt idx="10">
                  <c:v>BULGARIA</c:v>
                </c:pt>
                <c:pt idx="11">
                  <c:v>CANADA</c:v>
                </c:pt>
                <c:pt idx="12">
                  <c:v>CHILE</c:v>
                </c:pt>
                <c:pt idx="13">
                  <c:v>CHINA</c:v>
                </c:pt>
                <c:pt idx="14">
                  <c:v>COLOMBIA</c:v>
                </c:pt>
                <c:pt idx="15">
                  <c:v>COREA DEL SUR</c:v>
                </c:pt>
                <c:pt idx="16">
                  <c:v>COSTA RICA</c:v>
                </c:pt>
                <c:pt idx="17">
                  <c:v>CUBA</c:v>
                </c:pt>
                <c:pt idx="18">
                  <c:v>DINAMARCA</c:v>
                </c:pt>
                <c:pt idx="19">
                  <c:v>ECUADOR</c:v>
                </c:pt>
                <c:pt idx="20">
                  <c:v>EGIPTO</c:v>
                </c:pt>
                <c:pt idx="21">
                  <c:v>EL SALVADOR</c:v>
                </c:pt>
                <c:pt idx="22">
                  <c:v>ESPAÑA</c:v>
                </c:pt>
                <c:pt idx="23">
                  <c:v>ESTADOS UNIDOS</c:v>
                </c:pt>
                <c:pt idx="24">
                  <c:v>FIJI</c:v>
                </c:pt>
                <c:pt idx="25">
                  <c:v>FILIPINAS</c:v>
                </c:pt>
                <c:pt idx="26">
                  <c:v>FINLANDIA</c:v>
                </c:pt>
                <c:pt idx="27">
                  <c:v>FRANCIA</c:v>
                </c:pt>
                <c:pt idx="28">
                  <c:v>GRECIA</c:v>
                </c:pt>
                <c:pt idx="29">
                  <c:v>GUATEMALA</c:v>
                </c:pt>
                <c:pt idx="30">
                  <c:v>GUYANA</c:v>
                </c:pt>
                <c:pt idx="31">
                  <c:v>HONDURAS</c:v>
                </c:pt>
                <c:pt idx="32">
                  <c:v>HONG KONG</c:v>
                </c:pt>
                <c:pt idx="33">
                  <c:v>HUNGRIA</c:v>
                </c:pt>
                <c:pt idx="34">
                  <c:v>INDIA</c:v>
                </c:pt>
                <c:pt idx="35">
                  <c:v>INDONESIA</c:v>
                </c:pt>
                <c:pt idx="36">
                  <c:v>IRLANDA</c:v>
                </c:pt>
                <c:pt idx="37">
                  <c:v>ISRAEL</c:v>
                </c:pt>
                <c:pt idx="38">
                  <c:v>ITALIA</c:v>
                </c:pt>
                <c:pt idx="39">
                  <c:v>JAMAICA</c:v>
                </c:pt>
                <c:pt idx="40">
                  <c:v>JAPON</c:v>
                </c:pt>
                <c:pt idx="41">
                  <c:v>MADAGASCAR</c:v>
                </c:pt>
                <c:pt idx="42">
                  <c:v>MALAYSIA</c:v>
                </c:pt>
                <c:pt idx="43">
                  <c:v>MARRUECOS</c:v>
                </c:pt>
                <c:pt idx="44">
                  <c:v>MAURICIO</c:v>
                </c:pt>
                <c:pt idx="45">
                  <c:v>MEXICO</c:v>
                </c:pt>
                <c:pt idx="46">
                  <c:v>MOLDOVIA</c:v>
                </c:pt>
                <c:pt idx="47">
                  <c:v>NICARAGUA</c:v>
                </c:pt>
                <c:pt idx="48">
                  <c:v>NORUEGA</c:v>
                </c:pt>
                <c:pt idx="49">
                  <c:v>NUEVA ZELANDA</c:v>
                </c:pt>
                <c:pt idx="50">
                  <c:v>PAISES BAJOS</c:v>
                </c:pt>
                <c:pt idx="51">
                  <c:v>PAKISTAN</c:v>
                </c:pt>
                <c:pt idx="52">
                  <c:v>PANAMA</c:v>
                </c:pt>
                <c:pt idx="53">
                  <c:v>PARAGUAY</c:v>
                </c:pt>
                <c:pt idx="54">
                  <c:v>PERU</c:v>
                </c:pt>
                <c:pt idx="55">
                  <c:v>POLONIA</c:v>
                </c:pt>
                <c:pt idx="56">
                  <c:v>PORTUGAL</c:v>
                </c:pt>
                <c:pt idx="57">
                  <c:v>PUERTO RICO</c:v>
                </c:pt>
                <c:pt idx="58">
                  <c:v>REINO UNIDO</c:v>
                </c:pt>
                <c:pt idx="59">
                  <c:v>REPUBLICA DOMINICANA</c:v>
                </c:pt>
                <c:pt idx="60">
                  <c:v>RUSIA</c:v>
                </c:pt>
                <c:pt idx="61">
                  <c:v>SINGAPUR</c:v>
                </c:pt>
                <c:pt idx="62">
                  <c:v>SRI LANKA</c:v>
                </c:pt>
                <c:pt idx="63">
                  <c:v>REPUBLICA DE SUDAFRICA</c:v>
                </c:pt>
                <c:pt idx="64">
                  <c:v>SUECIA</c:v>
                </c:pt>
                <c:pt idx="65">
                  <c:v>SUIZA</c:v>
                </c:pt>
                <c:pt idx="66">
                  <c:v>TAILANDIA</c:v>
                </c:pt>
                <c:pt idx="67">
                  <c:v>TAIWAN</c:v>
                </c:pt>
                <c:pt idx="68">
                  <c:v>TRINIDAD Y TOBAGO</c:v>
                </c:pt>
                <c:pt idx="69">
                  <c:v>TUNICIA</c:v>
                </c:pt>
                <c:pt idx="70">
                  <c:v>TURQUIA</c:v>
                </c:pt>
                <c:pt idx="71">
                  <c:v>UGANDA</c:v>
                </c:pt>
                <c:pt idx="72">
                  <c:v>URUGUAY</c:v>
                </c:pt>
                <c:pt idx="73">
                  <c:v>VENEZUELA</c:v>
                </c:pt>
                <c:pt idx="74">
                  <c:v>VIETNAM</c:v>
                </c:pt>
              </c:strCache>
            </c:strRef>
          </c:cat>
          <c:val>
            <c:numRef>
              <c:f>'Grafica por Pais'!$A$2:$BW$2</c:f>
              <c:numCache>
                <c:formatCode>_(* #,##0.00_);_(* \(#,##0.00\);_(* "-"??_);_(@_)</c:formatCode>
                <c:ptCount val="75"/>
                <c:pt idx="0">
                  <c:v>126.2308</c:v>
                </c:pt>
                <c:pt idx="1">
                  <c:v>1008942.6077630001</c:v>
                </c:pt>
                <c:pt idx="2">
                  <c:v>1278.200026</c:v>
                </c:pt>
                <c:pt idx="3">
                  <c:v>4011.6192000000001</c:v>
                </c:pt>
                <c:pt idx="4">
                  <c:v>7201319.5663869977</c:v>
                </c:pt>
                <c:pt idx="5">
                  <c:v>390761.98249999998</c:v>
                </c:pt>
                <c:pt idx="6">
                  <c:v>206610.60290000006</c:v>
                </c:pt>
                <c:pt idx="7">
                  <c:v>1064758.6863950007</c:v>
                </c:pt>
                <c:pt idx="8">
                  <c:v>714.50906399999997</c:v>
                </c:pt>
                <c:pt idx="9">
                  <c:v>20611642.579053</c:v>
                </c:pt>
                <c:pt idx="10">
                  <c:v>129328.37500000003</c:v>
                </c:pt>
                <c:pt idx="11">
                  <c:v>2365812.6772360024</c:v>
                </c:pt>
                <c:pt idx="12">
                  <c:v>2131178.2522349991</c:v>
                </c:pt>
                <c:pt idx="13">
                  <c:v>2580130.8400920038</c:v>
                </c:pt>
                <c:pt idx="14">
                  <c:v>2622359.958120998</c:v>
                </c:pt>
                <c:pt idx="15">
                  <c:v>104240.10699999999</c:v>
                </c:pt>
                <c:pt idx="16">
                  <c:v>5473056.444144994</c:v>
                </c:pt>
                <c:pt idx="17">
                  <c:v>113589.12000000002</c:v>
                </c:pt>
                <c:pt idx="18">
                  <c:v>2075748.7477910002</c:v>
                </c:pt>
                <c:pt idx="19">
                  <c:v>594463.39197400014</c:v>
                </c:pt>
                <c:pt idx="20">
                  <c:v>9132.6259580000005</c:v>
                </c:pt>
                <c:pt idx="21">
                  <c:v>2292919.8543970007</c:v>
                </c:pt>
                <c:pt idx="22">
                  <c:v>5553753.1002570046</c:v>
                </c:pt>
                <c:pt idx="23">
                  <c:v>87857777.933185339</c:v>
                </c:pt>
                <c:pt idx="24">
                  <c:v>1798.9776000000004</c:v>
                </c:pt>
                <c:pt idx="25">
                  <c:v>14372.944608999996</c:v>
                </c:pt>
                <c:pt idx="26">
                  <c:v>7083.45</c:v>
                </c:pt>
                <c:pt idx="27">
                  <c:v>1604576.8599100015</c:v>
                </c:pt>
                <c:pt idx="28">
                  <c:v>9006.3543049999953</c:v>
                </c:pt>
                <c:pt idx="29">
                  <c:v>4907968.8200159976</c:v>
                </c:pt>
                <c:pt idx="30">
                  <c:v>75081.898182000004</c:v>
                </c:pt>
                <c:pt idx="31">
                  <c:v>11219913.526330009</c:v>
                </c:pt>
                <c:pt idx="32">
                  <c:v>13694</c:v>
                </c:pt>
                <c:pt idx="33">
                  <c:v>4029.6750000000002</c:v>
                </c:pt>
                <c:pt idx="34">
                  <c:v>1054321.0910209999</c:v>
                </c:pt>
                <c:pt idx="35">
                  <c:v>531357.91822400026</c:v>
                </c:pt>
                <c:pt idx="36">
                  <c:v>503531.96396099997</c:v>
                </c:pt>
                <c:pt idx="37">
                  <c:v>324908.44853200001</c:v>
                </c:pt>
                <c:pt idx="38">
                  <c:v>1196417.925179</c:v>
                </c:pt>
                <c:pt idx="39">
                  <c:v>132113.9436</c:v>
                </c:pt>
                <c:pt idx="40">
                  <c:v>3308.8354960000006</c:v>
                </c:pt>
                <c:pt idx="41">
                  <c:v>414.88058599999999</c:v>
                </c:pt>
                <c:pt idx="42">
                  <c:v>125034.55508599999</c:v>
                </c:pt>
                <c:pt idx="43">
                  <c:v>684.44056799999976</c:v>
                </c:pt>
                <c:pt idx="44">
                  <c:v>431.80233499999986</c:v>
                </c:pt>
                <c:pt idx="45">
                  <c:v>8092554.0870790025</c:v>
                </c:pt>
                <c:pt idx="46">
                  <c:v>9120</c:v>
                </c:pt>
                <c:pt idx="47">
                  <c:v>1134953.8498210001</c:v>
                </c:pt>
                <c:pt idx="48">
                  <c:v>3117472.3286749991</c:v>
                </c:pt>
                <c:pt idx="49">
                  <c:v>1571534.7961900001</c:v>
                </c:pt>
                <c:pt idx="50">
                  <c:v>2155462.7125800005</c:v>
                </c:pt>
                <c:pt idx="51">
                  <c:v>41214.421878000001</c:v>
                </c:pt>
                <c:pt idx="52">
                  <c:v>546101.68353599997</c:v>
                </c:pt>
                <c:pt idx="53">
                  <c:v>62880.960000000006</c:v>
                </c:pt>
                <c:pt idx="54">
                  <c:v>1281796.8585120002</c:v>
                </c:pt>
                <c:pt idx="55">
                  <c:v>234304</c:v>
                </c:pt>
                <c:pt idx="56">
                  <c:v>1319.9849999999999</c:v>
                </c:pt>
                <c:pt idx="57">
                  <c:v>1209297.3293540005</c:v>
                </c:pt>
                <c:pt idx="58">
                  <c:v>1747583.7639720012</c:v>
                </c:pt>
                <c:pt idx="59">
                  <c:v>1402255.1179620009</c:v>
                </c:pt>
                <c:pt idx="60">
                  <c:v>178666.45908999996</c:v>
                </c:pt>
                <c:pt idx="61">
                  <c:v>323361.29151200026</c:v>
                </c:pt>
                <c:pt idx="62">
                  <c:v>23061.423922000005</c:v>
                </c:pt>
                <c:pt idx="63">
                  <c:v>155232.42717000001</c:v>
                </c:pt>
                <c:pt idx="64">
                  <c:v>5554.7379999999994</c:v>
                </c:pt>
                <c:pt idx="65">
                  <c:v>106543.59051499999</c:v>
                </c:pt>
                <c:pt idx="66">
                  <c:v>1497254.4185569999</c:v>
                </c:pt>
                <c:pt idx="67">
                  <c:v>61508.207616999993</c:v>
                </c:pt>
                <c:pt idx="68">
                  <c:v>304205.24949000002</c:v>
                </c:pt>
                <c:pt idx="69">
                  <c:v>53199.375</c:v>
                </c:pt>
                <c:pt idx="70">
                  <c:v>421149.90075299988</c:v>
                </c:pt>
                <c:pt idx="71">
                  <c:v>20624.04</c:v>
                </c:pt>
                <c:pt idx="72">
                  <c:v>1063672.8638240001</c:v>
                </c:pt>
                <c:pt idx="73">
                  <c:v>52018.507360000003</c:v>
                </c:pt>
                <c:pt idx="74">
                  <c:v>1085306.0190090004</c:v>
                </c:pt>
              </c:numCache>
            </c:numRef>
          </c:val>
        </c:ser>
        <c:gapWidth val="109"/>
        <c:gapDepth val="0"/>
        <c:shape val="box"/>
        <c:axId val="77029376"/>
        <c:axId val="77030912"/>
        <c:axId val="0"/>
      </c:bar3DChart>
      <c:catAx>
        <c:axId val="77029376"/>
        <c:scaling>
          <c:orientation val="minMax"/>
        </c:scaling>
        <c:axPos val="b"/>
        <c:tickLblPos val="nextTo"/>
        <c:txPr>
          <a:bodyPr/>
          <a:lstStyle/>
          <a:p>
            <a:pPr>
              <a:defRPr sz="600" b="1"/>
            </a:pPr>
            <a:endParaRPr lang="es-DO"/>
          </a:p>
        </c:txPr>
        <c:crossAx val="77030912"/>
        <c:crosses val="autoZero"/>
        <c:auto val="1"/>
        <c:lblAlgn val="ctr"/>
        <c:lblOffset val="100"/>
      </c:catAx>
      <c:valAx>
        <c:axId val="77030912"/>
        <c:scaling>
          <c:orientation val="minMax"/>
        </c:scaling>
        <c:axPos val="l"/>
        <c:majorGridlines/>
        <c:numFmt formatCode="_(* #,##0.00_);_(* \(#,##0.00\);_(* &quot;-&quot;??_);_(@_)" sourceLinked="1"/>
        <c:tickLblPos val="nextTo"/>
        <c:txPr>
          <a:bodyPr/>
          <a:lstStyle/>
          <a:p>
            <a:pPr>
              <a:defRPr sz="700" b="1"/>
            </a:pPr>
            <a:endParaRPr lang="es-DO"/>
          </a:p>
        </c:txPr>
        <c:crossAx val="77029376"/>
        <c:crosses val="autoZero"/>
        <c:crossBetween val="between"/>
      </c:valAx>
    </c:plotArea>
    <c:plotVisOnly val="1"/>
    <c:dispBlanksAs val="gap"/>
  </c:chart>
  <c:spPr>
    <a:ln w="25400"/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DO"/>
  <c:chart>
    <c:autoTitleDeleted val="1"/>
    <c:view3D>
      <c:rotX val="30"/>
      <c:perspective val="30"/>
    </c:view3D>
    <c:plotArea>
      <c:layout/>
      <c:pie3DChart>
        <c:varyColors val="1"/>
        <c:ser>
          <c:idx val="1"/>
          <c:order val="0"/>
          <c:cat>
            <c:strRef>
              <c:f>'Importaciones Lacteas JULIO'!$B$1:$B$7</c:f>
              <c:strCache>
                <c:ptCount val="7"/>
                <c:pt idx="0">
                  <c:v>0401. Leche Liquida</c:v>
                </c:pt>
                <c:pt idx="1">
                  <c:v>0402. Leche en Polvo</c:v>
                </c:pt>
                <c:pt idx="2">
                  <c:v>0403. Yogurt, leches fermentadas</c:v>
                </c:pt>
                <c:pt idx="3">
                  <c:v>0404. Lactosuero</c:v>
                </c:pt>
                <c:pt idx="4">
                  <c:v>0405. Mantequilla</c:v>
                </c:pt>
                <c:pt idx="5">
                  <c:v>0406. Quesos y Requeson</c:v>
                </c:pt>
                <c:pt idx="6">
                  <c:v>Las demas</c:v>
                </c:pt>
              </c:strCache>
            </c:strRef>
          </c:cat>
          <c:val>
            <c:numRef>
              <c:f>'Importaciones Lacteas JULIO'!$C$1:$C$7</c:f>
            </c:numRef>
          </c:val>
        </c:ser>
        <c:ser>
          <c:idx val="2"/>
          <c:order val="1"/>
          <c:tx>
            <c:v>Importacion de Lacteos</c:v>
          </c:tx>
          <c:explosion val="14"/>
          <c:dLbls>
            <c:txPr>
              <a:bodyPr/>
              <a:lstStyle/>
              <a:p>
                <a:pPr>
                  <a:defRPr b="1"/>
                </a:pPr>
                <a:endParaRPr lang="es-DO"/>
              </a:p>
            </c:txPr>
            <c:showVal val="1"/>
            <c:showLeaderLines val="1"/>
          </c:dLbls>
          <c:cat>
            <c:strRef>
              <c:f>'Importaciones Lacteas JULIO'!$B$1:$B$7</c:f>
              <c:strCache>
                <c:ptCount val="7"/>
                <c:pt idx="0">
                  <c:v>0401. Leche Liquida</c:v>
                </c:pt>
                <c:pt idx="1">
                  <c:v>0402. Leche en Polvo</c:v>
                </c:pt>
                <c:pt idx="2">
                  <c:v>0403. Yogurt, leches fermentadas</c:v>
                </c:pt>
                <c:pt idx="3">
                  <c:v>0404. Lactosuero</c:v>
                </c:pt>
                <c:pt idx="4">
                  <c:v>0405. Mantequilla</c:v>
                </c:pt>
                <c:pt idx="5">
                  <c:v>0406. Quesos y Requeson</c:v>
                </c:pt>
                <c:pt idx="6">
                  <c:v>Las demas</c:v>
                </c:pt>
              </c:strCache>
            </c:strRef>
          </c:cat>
          <c:val>
            <c:numRef>
              <c:f>'Importaciones Lacteas JULIO'!$D$1:$D$7</c:f>
              <c:numCache>
                <c:formatCode>0.00%</c:formatCode>
                <c:ptCount val="7"/>
                <c:pt idx="0">
                  <c:v>0.208676983739186</c:v>
                </c:pt>
                <c:pt idx="1">
                  <c:v>0.27678318032836158</c:v>
                </c:pt>
                <c:pt idx="2">
                  <c:v>2.0818123555014337E-2</c:v>
                </c:pt>
                <c:pt idx="3">
                  <c:v>7.9803019402478123E-2</c:v>
                </c:pt>
                <c:pt idx="4">
                  <c:v>3.6751483492652462E-2</c:v>
                </c:pt>
                <c:pt idx="5">
                  <c:v>0.36292519791828642</c:v>
                </c:pt>
                <c:pt idx="6">
                  <c:v>1.4242011564021197E-2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 rtl="0">
            <a:defRPr b="1"/>
          </a:pPr>
          <a:endParaRPr lang="es-DO"/>
        </a:p>
      </c:txPr>
    </c:legend>
    <c:plotVisOnly val="1"/>
    <c:dispBlanksAs val="zero"/>
  </c:chart>
  <c:spPr>
    <a:ln w="25400"/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es-DO"/>
  <c:style val="27"/>
  <c:chart>
    <c:autoTitleDeleted val="1"/>
    <c:plotArea>
      <c:layout/>
      <c:barChart>
        <c:barDir val="col"/>
        <c:grouping val="clustered"/>
        <c:ser>
          <c:idx val="0"/>
          <c:order val="0"/>
          <c:tx>
            <c:v>Principales Importadores</c:v>
          </c:tx>
          <c:dLbls>
            <c:txPr>
              <a:bodyPr/>
              <a:lstStyle/>
              <a:p>
                <a:pPr>
                  <a:defRPr b="1"/>
                </a:pPr>
                <a:endParaRPr lang="es-DO"/>
              </a:p>
            </c:txPr>
            <c:showVal val="1"/>
          </c:dLbls>
          <c:cat>
            <c:strRef>
              <c:f>'Importaciones Lacteas JULIO'!$G$2:$G$5</c:f>
              <c:strCache>
                <c:ptCount val="4"/>
                <c:pt idx="0">
                  <c:v>Estados Unidos</c:v>
                </c:pt>
                <c:pt idx="1">
                  <c:v>Costa Rica</c:v>
                </c:pt>
                <c:pt idx="2">
                  <c:v>Nueva Zelanda</c:v>
                </c:pt>
                <c:pt idx="3">
                  <c:v>España</c:v>
                </c:pt>
              </c:strCache>
            </c:strRef>
          </c:cat>
          <c:val>
            <c:numRef>
              <c:f>'Importaciones Lacteas JULIO'!$H$2:$H$5</c:f>
              <c:numCache>
                <c:formatCode>_(* #,##0.00_);_(* \(#,##0.00\);_(* "-"??_);_(@_)</c:formatCode>
                <c:ptCount val="4"/>
                <c:pt idx="0">
                  <c:v>4011310.17</c:v>
                </c:pt>
                <c:pt idx="1">
                  <c:v>1105501.28</c:v>
                </c:pt>
                <c:pt idx="2">
                  <c:v>1549231.34</c:v>
                </c:pt>
                <c:pt idx="3">
                  <c:v>850945.09</c:v>
                </c:pt>
              </c:numCache>
            </c:numRef>
          </c:val>
        </c:ser>
        <c:gapWidth val="110"/>
        <c:overlap val="10"/>
        <c:axId val="99721216"/>
        <c:axId val="99722752"/>
      </c:barChart>
      <c:catAx>
        <c:axId val="99721216"/>
        <c:scaling>
          <c:orientation val="minMax"/>
        </c:scaling>
        <c:axPos val="b"/>
        <c:tickLblPos val="nextTo"/>
        <c:txPr>
          <a:bodyPr/>
          <a:lstStyle/>
          <a:p>
            <a:pPr>
              <a:defRPr b="1"/>
            </a:pPr>
            <a:endParaRPr lang="es-DO"/>
          </a:p>
        </c:txPr>
        <c:crossAx val="99722752"/>
        <c:crosses val="autoZero"/>
        <c:auto val="1"/>
        <c:lblAlgn val="ctr"/>
        <c:lblOffset val="100"/>
      </c:catAx>
      <c:valAx>
        <c:axId val="99722752"/>
        <c:scaling>
          <c:orientation val="minMax"/>
        </c:scaling>
        <c:axPos val="l"/>
        <c:numFmt formatCode="_(* #,##0.00_);_(* \(#,##0.00\);_(* &quot;-&quot;??_);_(@_)" sourceLinked="1"/>
        <c:tickLblPos val="nextTo"/>
        <c:txPr>
          <a:bodyPr/>
          <a:lstStyle/>
          <a:p>
            <a:pPr>
              <a:defRPr b="1"/>
            </a:pPr>
            <a:endParaRPr lang="es-DO"/>
          </a:p>
        </c:txPr>
        <c:crossAx val="99721216"/>
        <c:crosses val="autoZero"/>
        <c:crossBetween val="between"/>
      </c:valAx>
    </c:plotArea>
    <c:plotVisOnly val="1"/>
    <c:dispBlanksAs val="gap"/>
  </c:chart>
  <c:spPr>
    <a:ln w="25400" cmpd="sng"/>
  </c:spPr>
  <c:externalData r:id="rId1"/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DE092-6927-497B-AE07-5C26C093E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1329</Words>
  <Characters>7315</Characters>
  <Application>Microsoft Office Word</Application>
  <DocSecurity>0</DocSecurity>
  <Lines>60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8627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Mestevez</dc:creator>
  <cp:lastModifiedBy>ASISTENTE</cp:lastModifiedBy>
  <cp:revision>2</cp:revision>
  <cp:lastPrinted>2015-06-10T15:14:00Z</cp:lastPrinted>
  <dcterms:created xsi:type="dcterms:W3CDTF">2015-09-03T19:43:00Z</dcterms:created>
  <dcterms:modified xsi:type="dcterms:W3CDTF">2015-09-03T19:43:00Z</dcterms:modified>
</cp:coreProperties>
</file>